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60E" w:rsidRDefault="007E560E" w:rsidP="007E5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Kerekona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Uganda</w:t>
      </w:r>
    </w:p>
    <w:p w:rsidR="007E560E" w:rsidRDefault="007E560E" w:rsidP="007E5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Supreme Court of Uganda at </w:t>
      </w:r>
      <w:proofErr w:type="spellStart"/>
      <w:r>
        <w:rPr>
          <w:rFonts w:ascii="Times New Roman" w:hAnsi="Times New Roman" w:cs="Times New Roman"/>
          <w:color w:val="000000"/>
        </w:rPr>
        <w:t>Mengo</w:t>
      </w:r>
      <w:proofErr w:type="spellEnd"/>
    </w:p>
    <w:p w:rsidR="007E560E" w:rsidRDefault="007E560E" w:rsidP="007E5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4 August 2000</w:t>
      </w:r>
    </w:p>
    <w:p w:rsidR="007E560E" w:rsidRDefault="007E560E" w:rsidP="007E5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46/99</w:t>
      </w:r>
    </w:p>
    <w:p w:rsidR="007E560E" w:rsidRDefault="007E560E" w:rsidP="007E5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Wambuzi</w:t>
      </w:r>
      <w:proofErr w:type="spellEnd"/>
      <w:r>
        <w:rPr>
          <w:rFonts w:ascii="Times New Roman" w:hAnsi="Times New Roman" w:cs="Times New Roman"/>
          <w:color w:val="000000"/>
        </w:rPr>
        <w:t xml:space="preserve"> CJ, </w:t>
      </w:r>
      <w:proofErr w:type="spellStart"/>
      <w:r>
        <w:rPr>
          <w:rFonts w:ascii="Times New Roman" w:hAnsi="Times New Roman" w:cs="Times New Roman"/>
          <w:color w:val="000000"/>
        </w:rPr>
        <w:t>Tsekooko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Karokora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Mulenga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Kanyeihamba</w:t>
      </w:r>
      <w:proofErr w:type="spellEnd"/>
    </w:p>
    <w:p w:rsidR="007E560E" w:rsidRDefault="007E560E" w:rsidP="007E5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JJSC</w:t>
      </w:r>
    </w:p>
    <w:p w:rsidR="007E560E" w:rsidRDefault="007E560E" w:rsidP="007E5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7E560E" w:rsidRDefault="007E560E" w:rsidP="007E5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Summarised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by: </w:t>
      </w:r>
      <w:r>
        <w:rPr>
          <w:rFonts w:ascii="Times New Roman" w:hAnsi="Times New Roman" w:cs="Times New Roman"/>
          <w:color w:val="000000"/>
        </w:rPr>
        <w:t xml:space="preserve">M </w:t>
      </w:r>
      <w:proofErr w:type="spellStart"/>
      <w:r>
        <w:rPr>
          <w:rFonts w:ascii="Times New Roman" w:hAnsi="Times New Roman" w:cs="Times New Roman"/>
          <w:color w:val="000000"/>
        </w:rPr>
        <w:t>Kibanga</w:t>
      </w:r>
      <w:proofErr w:type="spellEnd"/>
    </w:p>
    <w:p w:rsidR="007E560E" w:rsidRDefault="007E560E" w:rsidP="007E5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Appeal – Appellate Court – Lower court making a fundamental mistake in conduct of proceedings –</w:t>
      </w:r>
    </w:p>
    <w:p w:rsidR="007E560E" w:rsidRDefault="007E560E" w:rsidP="007E5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Whether fundamental defect precluding appellate court from deciding on appeal relying on the lower</w:t>
      </w:r>
    </w:p>
    <w:p w:rsidR="007E560E" w:rsidRDefault="007E560E" w:rsidP="007E5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court’s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proceedings other than to order a retrial or grant an acquittal.</w:t>
      </w:r>
    </w:p>
    <w:p w:rsidR="007E560E" w:rsidRDefault="007E560E" w:rsidP="007E5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[2] Criminal practice and procedure – Previous conviction – Trial court making reference to previous</w:t>
      </w:r>
    </w:p>
    <w:p w:rsidR="007E560E" w:rsidRDefault="007E560E" w:rsidP="007E5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conviction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– Whether such reference improper.</w:t>
      </w:r>
    </w:p>
    <w:p w:rsidR="007E560E" w:rsidRDefault="007E560E" w:rsidP="007E5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[3] Criminal practice and procedure – Trial – Criminal trial – Evaluation of evidence – Court</w:t>
      </w:r>
    </w:p>
    <w:p w:rsidR="007E560E" w:rsidRDefault="007E560E" w:rsidP="007E5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evaluating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evidence of the prosecution and conducting trial before evaluating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defence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evidence –</w:t>
      </w:r>
    </w:p>
    <w:p w:rsidR="007E560E" w:rsidRDefault="007E560E" w:rsidP="007E5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Misdirection by Judge – Whether misdirection making trial fundamentally defective.</w:t>
      </w:r>
    </w:p>
    <w:p w:rsidR="007E560E" w:rsidRDefault="007E560E" w:rsidP="007E5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0105CA" w:rsidRDefault="007E560E" w:rsidP="007E5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the night of 3 June 1994 the Appellant while in the company of another person broke into the house</w:t>
      </w:r>
      <w:r w:rsidR="000105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of the complainant, who was asleep with his wife. The Appellant who was armed with a </w:t>
      </w:r>
      <w:proofErr w:type="spellStart"/>
      <w:r>
        <w:rPr>
          <w:rFonts w:ascii="Times New Roman" w:hAnsi="Times New Roman" w:cs="Times New Roman"/>
          <w:color w:val="000000"/>
        </w:rPr>
        <w:t>matchete</w:t>
      </w:r>
      <w:proofErr w:type="spellEnd"/>
      <w:r w:rsidR="000105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attacked the complainant.</w:t>
      </w:r>
      <w:r w:rsidR="000105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There was a lit hurricane lamp and the complainant was able to see the Appellant and the other assailant.</w:t>
      </w:r>
      <w:r w:rsidR="000105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 struggle ensued and the Appellant cut the complainant with the </w:t>
      </w:r>
      <w:proofErr w:type="spellStart"/>
      <w:r>
        <w:rPr>
          <w:rFonts w:ascii="Times New Roman" w:hAnsi="Times New Roman" w:cs="Times New Roman"/>
          <w:color w:val="000000"/>
        </w:rPr>
        <w:t>matchete</w:t>
      </w:r>
      <w:proofErr w:type="spellEnd"/>
      <w:r>
        <w:rPr>
          <w:rFonts w:ascii="Times New Roman" w:hAnsi="Times New Roman" w:cs="Times New Roman"/>
          <w:color w:val="000000"/>
        </w:rPr>
        <w:t>. Meanwhile, some persons</w:t>
      </w:r>
      <w:r w:rsidR="000105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heard the commotion and arrived at the scene. The other assailant escaped. The Appellant was tied up.</w:t>
      </w:r>
      <w:r w:rsidR="000105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Upon searching the house, the complainant discovered that a weighing machine and some money had</w:t>
      </w:r>
      <w:r w:rsidR="000105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been stolen. The complainant and the other persons went to the home of the other assailant and arrested</w:t>
      </w:r>
      <w:r w:rsidR="000105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him. The Appellant and the other person were later charged with aggravated robbery.</w:t>
      </w:r>
      <w:r w:rsidR="000105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Before trial the Appellant’s co-accused died. The High Court tried, convicted and sentenced the</w:t>
      </w:r>
      <w:r w:rsidR="000105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to death. He appealed to the Court of Appeal and although the Court of Appeal noted that the</w:t>
      </w:r>
      <w:r w:rsidR="000105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procedure adopted by the High Court was fundamentally wrong for considering the prosecution case in</w:t>
      </w:r>
      <w:r w:rsidR="000105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isolation before considering the Appellant’s case, the Court of Appeal nevertheless used the record of</w:t>
      </w:r>
      <w:r w:rsidR="000105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proceedings of High Court to confirm the conviction of the Appellant.</w:t>
      </w:r>
      <w:r w:rsidR="000105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On appeal to the Court of Appeal, the Appellant’s advocate argued that the Court of Appeal ought not</w:t>
      </w:r>
      <w:r w:rsidR="000105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to have relied on the proceedings of the High Court to re-evaluate the evidence given in the High Court.</w:t>
      </w:r>
      <w:r w:rsidR="000105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Referring to the Appellant’s previous conviction in another case, the High Court had remarked on the</w:t>
      </w:r>
      <w:r w:rsidR="000105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Appellant’s “propensity to be on the wrong side of the law”. The Appellant’s advocate argued that the</w:t>
      </w:r>
      <w:r w:rsidR="000105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of Appeal should have quashed the conviction for this reason also.</w:t>
      </w:r>
      <w:r w:rsidR="000105CA">
        <w:rPr>
          <w:rFonts w:ascii="Times New Roman" w:hAnsi="Times New Roman" w:cs="Times New Roman"/>
          <w:color w:val="000000"/>
        </w:rPr>
        <w:t xml:space="preserve"> </w:t>
      </w:r>
    </w:p>
    <w:p w:rsidR="000105CA" w:rsidRDefault="000105CA" w:rsidP="007E5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7E560E" w:rsidRDefault="007E560E" w:rsidP="007E5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It was fundamentally wrong to evaluate the case of the prosecution in isolation and then consider</w:t>
      </w:r>
      <w:r w:rsidR="000105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whether or not the case for the </w:t>
      </w:r>
      <w:proofErr w:type="spellStart"/>
      <w:r>
        <w:rPr>
          <w:rFonts w:ascii="Times New Roman" w:hAnsi="Times New Roman" w:cs="Times New Roman"/>
          <w:color w:val="000000"/>
        </w:rPr>
        <w:t>defence</w:t>
      </w:r>
      <w:proofErr w:type="spellEnd"/>
      <w:r>
        <w:rPr>
          <w:rFonts w:ascii="Times New Roman" w:hAnsi="Times New Roman" w:cs="Times New Roman"/>
          <w:color w:val="000000"/>
        </w:rPr>
        <w:t xml:space="preserve"> rebutted or casts doubt on it. No single piece of evidence should</w:t>
      </w:r>
      <w:r w:rsidR="000105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have been weighed except in relation to all the rest of the evidence;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Okethi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Okale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R </w:t>
      </w:r>
      <w:r>
        <w:rPr>
          <w:rFonts w:ascii="Times New Roman" w:hAnsi="Times New Roman" w:cs="Times New Roman"/>
          <w:color w:val="000000"/>
        </w:rPr>
        <w:t>[1965]</w:t>
      </w:r>
      <w:r w:rsidR="000105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EA 555 followed partly and distinguished substantially. The proceeding of the lower court remained</w:t>
      </w:r>
      <w:r w:rsidR="000105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valid for all purposes until declared null and void by a higher court; </w:t>
      </w:r>
      <w:r>
        <w:rPr>
          <w:rFonts w:ascii="Times New Roman" w:hAnsi="Times New Roman" w:cs="Times New Roman"/>
          <w:i/>
          <w:iCs/>
          <w:color w:val="000000"/>
        </w:rPr>
        <w:t xml:space="preserve">R 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Naker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>[1956] 23 EACA 528</w:t>
      </w:r>
      <w:r w:rsidR="000105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Loizean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R </w:t>
      </w:r>
      <w:r>
        <w:rPr>
          <w:rFonts w:ascii="Times New Roman" w:hAnsi="Times New Roman" w:cs="Times New Roman"/>
          <w:color w:val="000000"/>
        </w:rPr>
        <w:t>[1956] 23 EACA 566 followed. There was possibly no situation in which an</w:t>
      </w:r>
      <w:r w:rsidR="000105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appellate could be precluded from re-evaluating the evidence on record of a trial court simply because of</w:t>
      </w:r>
      <w:r w:rsidR="000105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misdirection in the judgment by the trial court.</w:t>
      </w:r>
      <w:r w:rsidR="000105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appellate court had to re-evaluate the evidence on record and draw its own inferences and, if</w:t>
      </w:r>
      <w:r w:rsidR="000105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of the opinion that the judgment of the trial court could not be supported, that judgment would be</w:t>
      </w:r>
      <w:r w:rsidR="000105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set aside; </w:t>
      </w:r>
      <w:r>
        <w:rPr>
          <w:rFonts w:ascii="Times New Roman" w:hAnsi="Times New Roman" w:cs="Times New Roman"/>
          <w:i/>
          <w:iCs/>
          <w:color w:val="000000"/>
        </w:rPr>
        <w:t xml:space="preserve">D R Pandya v R </w:t>
      </w:r>
      <w:r>
        <w:rPr>
          <w:rFonts w:ascii="Times New Roman" w:hAnsi="Times New Roman" w:cs="Times New Roman"/>
          <w:color w:val="000000"/>
        </w:rPr>
        <w:t xml:space="preserve">[1957] EA 336, </w:t>
      </w:r>
      <w:r>
        <w:rPr>
          <w:rFonts w:ascii="Times New Roman" w:hAnsi="Times New Roman" w:cs="Times New Roman"/>
          <w:i/>
          <w:iCs/>
          <w:color w:val="000000"/>
        </w:rPr>
        <w:t xml:space="preserve">S 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Ruwala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 xml:space="preserve">[1957] EA 358,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Bogere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Moses v Uganda</w:t>
      </w:r>
      <w:r w:rsidR="000105CA">
        <w:rPr>
          <w:rFonts w:ascii="Times New Roman" w:hAnsi="Times New Roman" w:cs="Times New Roman"/>
          <w:i/>
          <w:iCs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Supreme Court criminal appeal number 1 of 1997 (unreported) and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Kifamunte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Henry v Uganda </w:t>
      </w:r>
      <w:r>
        <w:rPr>
          <w:rFonts w:ascii="Times New Roman" w:hAnsi="Times New Roman" w:cs="Times New Roman"/>
          <w:color w:val="000000"/>
        </w:rPr>
        <w:t>Supreme</w:t>
      </w:r>
      <w:r w:rsidR="000105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criminal appeal number 10 of 1997 (unreported) followed. Failure of a lower court to comply with</w:t>
      </w:r>
      <w:r w:rsidR="000105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rules of preparing a judgment would be fatal to a conviction where there was insufficient material on</w:t>
      </w:r>
      <w:r w:rsidR="000105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record to enable the appellate court to </w:t>
      </w:r>
      <w:r>
        <w:rPr>
          <w:rFonts w:ascii="Times New Roman" w:hAnsi="Times New Roman" w:cs="Times New Roman"/>
          <w:color w:val="000000"/>
        </w:rPr>
        <w:lastRenderedPageBreak/>
        <w:t xml:space="preserve">consider the appeal on merits; </w:t>
      </w:r>
      <w:r>
        <w:rPr>
          <w:rFonts w:ascii="Times New Roman" w:hAnsi="Times New Roman" w:cs="Times New Roman"/>
          <w:i/>
          <w:iCs/>
          <w:color w:val="000000"/>
        </w:rPr>
        <w:t xml:space="preserve">Willy John v R </w:t>
      </w:r>
      <w:r>
        <w:rPr>
          <w:rFonts w:ascii="Times New Roman" w:hAnsi="Times New Roman" w:cs="Times New Roman"/>
          <w:color w:val="000000"/>
        </w:rPr>
        <w:t>[1956] 23 EACA</w:t>
      </w:r>
      <w:r w:rsidR="000105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590 followed. The misdirection by the Judge in recording the evidence was not fatal to the conviction.</w:t>
      </w:r>
      <w:r w:rsidR="000105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It was not proper for the Judge to refer to the previous allegation of conviction for robbery, but that</w:t>
      </w:r>
      <w:r w:rsidR="000105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did not prejudice the Appellant’s case. There was sufficient evidence to support the conviction and</w:t>
      </w:r>
      <w:r w:rsidR="000105CA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sentence. The appeal was dismissed.</w:t>
      </w:r>
    </w:p>
    <w:p w:rsidR="007E560E" w:rsidRDefault="007E560E" w:rsidP="007E5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</w:p>
    <w:p w:rsidR="007E560E" w:rsidRDefault="007E560E" w:rsidP="007E5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7E560E" w:rsidRDefault="007E560E" w:rsidP="007E5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7E560E" w:rsidRDefault="007E560E" w:rsidP="007E5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7E560E" w:rsidRDefault="007E560E" w:rsidP="007E5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7E560E" w:rsidRDefault="007E560E" w:rsidP="007E5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East Africa</w:t>
      </w:r>
    </w:p>
    <w:p w:rsidR="007E560E" w:rsidRDefault="007E560E" w:rsidP="007E5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Augustion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Orete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Uganda </w:t>
      </w:r>
      <w:r>
        <w:rPr>
          <w:rFonts w:ascii="Times New Roman" w:hAnsi="Times New Roman" w:cs="Times New Roman"/>
          <w:color w:val="000000"/>
        </w:rPr>
        <w:t>[1996] EA 431</w:t>
      </w:r>
    </w:p>
    <w:p w:rsidR="007E560E" w:rsidRDefault="007E560E" w:rsidP="007E5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Bogere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Moses v Uganda </w:t>
      </w:r>
      <w:r>
        <w:rPr>
          <w:rFonts w:ascii="Times New Roman" w:hAnsi="Times New Roman" w:cs="Times New Roman"/>
          <w:color w:val="000000"/>
        </w:rPr>
        <w:t xml:space="preserve">Supreme Court criminal appeal number 1 of 1997 (unreported)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7E560E" w:rsidRDefault="007E560E" w:rsidP="007E5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D R Pandya v R </w:t>
      </w:r>
      <w:r>
        <w:rPr>
          <w:rFonts w:ascii="Times New Roman" w:hAnsi="Times New Roman" w:cs="Times New Roman"/>
          <w:color w:val="000000"/>
        </w:rPr>
        <w:t xml:space="preserve">[1957] EA 336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7E560E" w:rsidRDefault="007E560E" w:rsidP="007E5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Kifamunte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Henry v Uganda Supreme Court </w:t>
      </w:r>
      <w:r>
        <w:rPr>
          <w:rFonts w:ascii="Times New Roman" w:hAnsi="Times New Roman" w:cs="Times New Roman"/>
          <w:color w:val="000000"/>
        </w:rPr>
        <w:t xml:space="preserve">criminal appeal number 10 of 1997 (unreported)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7E560E" w:rsidRDefault="007E560E" w:rsidP="007E5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Ndege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Maragwa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EACA </w:t>
      </w:r>
      <w:r>
        <w:rPr>
          <w:rFonts w:ascii="Times New Roman" w:hAnsi="Times New Roman" w:cs="Times New Roman"/>
          <w:color w:val="000000"/>
        </w:rPr>
        <w:t>criminal appeal number 156 of 1964</w:t>
      </w:r>
    </w:p>
    <w:p w:rsidR="007E560E" w:rsidRDefault="007E560E" w:rsidP="007E5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Okethi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Okale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others v Republic </w:t>
      </w:r>
      <w:r>
        <w:rPr>
          <w:rFonts w:ascii="Times New Roman" w:hAnsi="Times New Roman" w:cs="Times New Roman"/>
          <w:color w:val="000000"/>
        </w:rPr>
        <w:t xml:space="preserve">[1965] EA 555 – </w:t>
      </w:r>
      <w:r>
        <w:rPr>
          <w:rFonts w:ascii="Times New Roman" w:hAnsi="Times New Roman" w:cs="Times New Roman"/>
          <w:b/>
          <w:bCs/>
          <w:color w:val="000000"/>
        </w:rPr>
        <w:t xml:space="preserve">D </w:t>
      </w:r>
      <w:r>
        <w:rPr>
          <w:rFonts w:ascii="Times New Roman" w:hAnsi="Times New Roman" w:cs="Times New Roman"/>
          <w:color w:val="000000"/>
        </w:rPr>
        <w:t xml:space="preserve">and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7E560E" w:rsidRDefault="007E560E" w:rsidP="007E5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Phillibert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Loizean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R </w:t>
      </w:r>
      <w:r>
        <w:rPr>
          <w:rFonts w:ascii="Times New Roman" w:hAnsi="Times New Roman" w:cs="Times New Roman"/>
          <w:color w:val="000000"/>
        </w:rPr>
        <w:t xml:space="preserve">[1956] 23 EACA 566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7E560E" w:rsidRDefault="007E560E" w:rsidP="007E5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R 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Naker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 xml:space="preserve">[1956] 23 EACA 528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7E560E" w:rsidRDefault="007E560E" w:rsidP="007E5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S 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Ruwala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 </w:t>
      </w:r>
      <w:r>
        <w:rPr>
          <w:rFonts w:ascii="Times New Roman" w:hAnsi="Times New Roman" w:cs="Times New Roman"/>
          <w:color w:val="000000"/>
        </w:rPr>
        <w:t xml:space="preserve">[1957] EA 358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7E560E" w:rsidRDefault="007E560E" w:rsidP="007E5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Willy John v R </w:t>
      </w:r>
      <w:r>
        <w:rPr>
          <w:rFonts w:ascii="Times New Roman" w:hAnsi="Times New Roman" w:cs="Times New Roman"/>
          <w:color w:val="000000"/>
        </w:rPr>
        <w:t xml:space="preserve">[1956] 23 EACA 509 – </w:t>
      </w:r>
      <w:r>
        <w:rPr>
          <w:rFonts w:ascii="Times New Roman" w:hAnsi="Times New Roman" w:cs="Times New Roman"/>
          <w:b/>
          <w:bCs/>
          <w:color w:val="000000"/>
        </w:rPr>
        <w:t>F</w:t>
      </w:r>
    </w:p>
    <w:p w:rsidR="007E560E" w:rsidRDefault="007E560E" w:rsidP="007E5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i/>
          <w:iCs/>
          <w:color w:val="000000"/>
        </w:rPr>
        <w:t>United Kingdom</w:t>
      </w:r>
    </w:p>
    <w:p w:rsidR="007E560E" w:rsidRDefault="007E560E" w:rsidP="007E560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Annbamunthodo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Oilfields Workers Trade Union </w:t>
      </w:r>
      <w:r>
        <w:rPr>
          <w:rFonts w:ascii="Times New Roman" w:hAnsi="Times New Roman" w:cs="Times New Roman"/>
          <w:color w:val="000000"/>
        </w:rPr>
        <w:t>[1961] AC 945</w:t>
      </w:r>
    </w:p>
    <w:p w:rsidR="003F18BF" w:rsidRDefault="007E560E" w:rsidP="007E560E">
      <w:r>
        <w:rPr>
          <w:rFonts w:ascii="Times New Roman" w:hAnsi="Times New Roman" w:cs="Times New Roman"/>
          <w:i/>
          <w:iCs/>
          <w:color w:val="000000"/>
        </w:rPr>
        <w:t xml:space="preserve">General Medical Council v Sparkman </w:t>
      </w:r>
      <w:r>
        <w:rPr>
          <w:rFonts w:ascii="Times New Roman" w:hAnsi="Times New Roman" w:cs="Times New Roman"/>
          <w:color w:val="000000"/>
        </w:rPr>
        <w:t>[1943] AC 627</w:t>
      </w:r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60E"/>
    <w:rsid w:val="000105CA"/>
    <w:rsid w:val="003F18BF"/>
    <w:rsid w:val="007E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A0E6AD-B99E-47DF-941D-96406D87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818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2018-07-05T11:40:00Z</dcterms:created>
  <dcterms:modified xsi:type="dcterms:W3CDTF">2018-07-12T20:15:00Z</dcterms:modified>
</cp:coreProperties>
</file>