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Khushal v Gilani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370 (HCK)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May 1974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2303/1973 (89/74)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Caveat – Extension – Order must be served on registrar within </w:t>
      </w:r>
      <w:r>
        <w:rPr>
          <w:rFonts w:ascii="Times New Roman" w:hAnsi="Times New Roman" w:cs="Times New Roman"/>
          <w:color w:val="000000"/>
        </w:rPr>
        <w:t xml:space="preserve">28 </w:t>
      </w:r>
      <w:r>
        <w:rPr>
          <w:rFonts w:ascii="Times New Roman" w:hAnsi="Times New Roman" w:cs="Times New Roman"/>
          <w:i/>
          <w:iCs/>
          <w:color w:val="000000"/>
        </w:rPr>
        <w:t>days – Registration of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281)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57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lodged a caveat to protect the interest claimed by him in the suit. He was served with 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notice</w:t>
      </w:r>
      <w:proofErr w:type="gramEnd"/>
      <w:r>
        <w:rPr>
          <w:rFonts w:ascii="Times New Roman" w:hAnsi="Times New Roman" w:cs="Times New Roman"/>
          <w:color w:val="000000"/>
        </w:rPr>
        <w:t xml:space="preserve"> requiring removal of the caveat within 28 days and his application for its extension was heard after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expiry of the 28 days.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contended that there was no jurisdiction to grant the application after the expiry of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caveat</w:t>
      </w:r>
      <w:proofErr w:type="gramEnd"/>
      <w:r>
        <w:rPr>
          <w:rFonts w:ascii="Times New Roman" w:hAnsi="Times New Roman" w:cs="Times New Roman"/>
          <w:color w:val="000000"/>
        </w:rPr>
        <w:t>, and the defendant contended that the application had been made within the 28 days.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an order must be served on the registrar within 28 days.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Parmer v. Singh </w:t>
      </w:r>
      <w:r>
        <w:rPr>
          <w:rFonts w:ascii="Times New Roman" w:hAnsi="Times New Roman" w:cs="Times New Roman"/>
          <w:color w:val="000000"/>
        </w:rPr>
        <w:t>(S.C.C.C. 259 of 1963) unreported.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Mayers v. Akira Ranch Ltd</w:t>
      </w:r>
      <w:r>
        <w:rPr>
          <w:rFonts w:ascii="Times New Roman" w:hAnsi="Times New Roman" w:cs="Times New Roman"/>
          <w:color w:val="000000"/>
        </w:rPr>
        <w:t>. (No. 3), [1973] E.A. 431.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This is an application by chamber summons brought by the defendant for an order that 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caveat</w:t>
      </w:r>
      <w:proofErr w:type="gramEnd"/>
      <w:r>
        <w:rPr>
          <w:rFonts w:ascii="Times New Roman" w:hAnsi="Times New Roman" w:cs="Times New Roman"/>
          <w:color w:val="000000"/>
        </w:rPr>
        <w:t xml:space="preserve"> lodged by him under s. 57(1) of the Registration of Titles Act (Cap. 281) in respect of the suit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premises</w:t>
      </w:r>
      <w:proofErr w:type="gramEnd"/>
      <w:r>
        <w:rPr>
          <w:rFonts w:ascii="Times New Roman" w:hAnsi="Times New Roman" w:cs="Times New Roman"/>
          <w:color w:val="000000"/>
        </w:rPr>
        <w:t>, which consist of a small plot of land with buildings thereon situate at Nakuru, be extended.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suit, which was field on 22 November 1973, the plaintiff claims possession of the premises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the defendant who is alleged to have wrongfully seized and retained possession thereof.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defendant</w:t>
      </w:r>
      <w:proofErr w:type="gramEnd"/>
      <w:r>
        <w:rPr>
          <w:rFonts w:ascii="Times New Roman" w:hAnsi="Times New Roman" w:cs="Times New Roman"/>
          <w:color w:val="000000"/>
        </w:rPr>
        <w:t xml:space="preserve"> in his defence claims that the plaintiff agreed to sell the premises to him and counterclaims for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specific</w:t>
      </w:r>
      <w:proofErr w:type="gramEnd"/>
      <w:r>
        <w:rPr>
          <w:rFonts w:ascii="Times New Roman" w:hAnsi="Times New Roman" w:cs="Times New Roman"/>
          <w:color w:val="000000"/>
        </w:rPr>
        <w:t xml:space="preserve"> performance.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5 February 1974 the defendant lodged his caveat claiming a purchaser’s interest and it appears that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8 April 1974 he received a notice from the registrar of titles under s. 57 (6) of the Act requiring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withdrawal</w:t>
      </w:r>
      <w:proofErr w:type="gramEnd"/>
      <w:r>
        <w:rPr>
          <w:rFonts w:ascii="Times New Roman" w:hAnsi="Times New Roman" w:cs="Times New Roman"/>
          <w:color w:val="000000"/>
        </w:rPr>
        <w:t xml:space="preserve"> of the caveat in accordance with that sub-section within the next 28 days, that is, on or before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May 1974. On this day the present application was filed, supported by affidavit, seeking an order that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caveat be extended until the finalisation of the suit.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Khanna’s main objection is based on the fact that the caveat had expired at least by 6 May with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result that, in his submission, the court has now no jurisdiction to grant the relief sought. In support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this last matter he relied upon the unreported decision of Miles, J. dated 3 November 1964 in </w:t>
      </w:r>
      <w:r>
        <w:rPr>
          <w:rFonts w:ascii="Times New Roman" w:hAnsi="Times New Roman" w:cs="Times New Roman"/>
          <w:i/>
          <w:iCs/>
          <w:color w:val="000000"/>
        </w:rPr>
        <w:t>Parmer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v. Singh </w:t>
      </w:r>
      <w:r>
        <w:rPr>
          <w:rFonts w:ascii="Times New Roman" w:hAnsi="Times New Roman" w:cs="Times New Roman"/>
          <w:color w:val="000000"/>
        </w:rPr>
        <w:t>(S.C.C.C. 259 of 1963).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57(6) of the Act is in the following terms: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“Except in the case of a caveat lodged by the registrar, the caveatee may make application in writing to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registrar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remove such caveat, and thereupon and upon payment of the prescribed fee the registrar shall give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371 of [1974] 1 EA 370 (HCK)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twenty-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eight days’ notice in writing to the caveator requiring that the caveat be withdrawn, and, after the lapse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service of such notice at the address mentioned in the caveat, the registrar shall remove such caveat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register by entering a memorandum that the same is discharged, unless he has been previously served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order of the court extending the time as herein provided.”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course of his judgment Miles, J. said: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operative word is clearly the word ‘previously’ in subsection (6). This indicates that the registrar must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served with the order extending the caveat before the lapse of the twenty-eight days’ notice in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writing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It is not sufficient that the application for extension should have been filed or even the order obtained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period. The words, ‘after the lapse of the service of such notice’ in subsection (6) are rather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peculiar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do not know whether there is some typographical error. I can only construe these as meaning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‘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lapse of twenty-eight days from the date of service of such notice’. In this connection I would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observe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notice given by the registrar specifies twenty-eight days from the date thereof.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requirement that the order must be served on the registrar within the period of twenty-eight days is not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unreasonable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since the lodging of a caveat is a substantial interference with the rights of a proprietor, and it is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surprising that the legislature should have subjected it to stringent conditions. A period of twenty-eight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not inadequate, and it is to be noted that subsection (8) enables the caveator to apply for an extension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either before or after receiving the notice from the registrar. In many cases a caveator will have good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anticipate that steps will be taken by the caveatee to have the caveat withdrawn under subsection (5)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57. Section 63 of the Interpretation and General Provisions Act does not apply because this is 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where a contrary intention appears.”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Ndegwa for the defendant submitted that, since the notice from the registry had been received on 8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April 1974, expiring on 6 May, and since the present application had been filed on 6 May, the proposed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order</w:t>
      </w:r>
      <w:proofErr w:type="gramEnd"/>
      <w:r>
        <w:rPr>
          <w:rFonts w:ascii="Times New Roman" w:hAnsi="Times New Roman" w:cs="Times New Roman"/>
          <w:color w:val="000000"/>
        </w:rPr>
        <w:t xml:space="preserve"> if and when made should be given retrospective effect to that date. He contended that there was 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possibility</w:t>
      </w:r>
      <w:proofErr w:type="gramEnd"/>
      <w:r>
        <w:rPr>
          <w:rFonts w:ascii="Times New Roman" w:hAnsi="Times New Roman" w:cs="Times New Roman"/>
          <w:color w:val="000000"/>
        </w:rPr>
        <w:t xml:space="preserve"> that, despite the lapse of time, the registrar might not have yet removed the caveat and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therefore</w:t>
      </w:r>
      <w:proofErr w:type="gramEnd"/>
      <w:r>
        <w:rPr>
          <w:rFonts w:ascii="Times New Roman" w:hAnsi="Times New Roman" w:cs="Times New Roman"/>
          <w:color w:val="000000"/>
        </w:rPr>
        <w:t xml:space="preserve"> that the order, if now made and served expeditiously, might still be in time to save caveat.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satisfied that the application must fail. I agree with Mr. Khanna that the information before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 xml:space="preserve"> is insufficient and I would refer the applicant to the decision of Spry, V.P. in </w:t>
      </w:r>
      <w:r>
        <w:rPr>
          <w:rFonts w:ascii="Times New Roman" w:hAnsi="Times New Roman" w:cs="Times New Roman"/>
          <w:i/>
          <w:iCs/>
          <w:color w:val="000000"/>
        </w:rPr>
        <w:t>Mayers v. Akira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Ranch Ltd</w:t>
      </w:r>
      <w:r>
        <w:rPr>
          <w:rFonts w:ascii="Times New Roman" w:hAnsi="Times New Roman" w:cs="Times New Roman"/>
          <w:color w:val="000000"/>
        </w:rPr>
        <w:t>. (No. 3), [1973] E.A. 431, where the desirability of a full disclosure of all relevant matters in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applications</w:t>
      </w:r>
      <w:proofErr w:type="gramEnd"/>
      <w:r>
        <w:rPr>
          <w:rFonts w:ascii="Times New Roman" w:hAnsi="Times New Roman" w:cs="Times New Roman"/>
          <w:color w:val="000000"/>
        </w:rPr>
        <w:t xml:space="preserve"> relating to caveats was pointed out. Furthermore, by virtue of O. 36 r. 3B, the application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should</w:t>
      </w:r>
      <w:proofErr w:type="gramEnd"/>
      <w:r>
        <w:rPr>
          <w:rFonts w:ascii="Times New Roman" w:hAnsi="Times New Roman" w:cs="Times New Roman"/>
          <w:color w:val="000000"/>
        </w:rPr>
        <w:t xml:space="preserve"> strictly speaking have been by originating summons under that Order and not by chamber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summons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principal ground upon which the application fails however is that of lack of jurisdiction for it is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clear</w:t>
      </w:r>
      <w:proofErr w:type="gramEnd"/>
      <w:r>
        <w:rPr>
          <w:rFonts w:ascii="Times New Roman" w:hAnsi="Times New Roman" w:cs="Times New Roman"/>
          <w:color w:val="000000"/>
        </w:rPr>
        <w:t xml:space="preserve"> that the registrar of titles is required by sub-s. (6)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remove the caveat immediately upon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expiration</w:t>
      </w:r>
      <w:proofErr w:type="gramEnd"/>
      <w:r>
        <w:rPr>
          <w:rFonts w:ascii="Times New Roman" w:hAnsi="Times New Roman" w:cs="Times New Roman"/>
          <w:color w:val="000000"/>
        </w:rPr>
        <w:t xml:space="preserve"> of the statutory period of 28 days unless he had been previously served with an order of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 xml:space="preserve"> extending the period of grace allowed to the caveator. At this stage it would be impossible to serve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any</w:t>
      </w:r>
      <w:proofErr w:type="gramEnd"/>
      <w:r>
        <w:rPr>
          <w:rFonts w:ascii="Times New Roman" w:hAnsi="Times New Roman" w:cs="Times New Roman"/>
          <w:color w:val="000000"/>
        </w:rPr>
        <w:t xml:space="preserve"> order now to be made within the time contemplated since this time has already expired and I cannot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entertain</w:t>
      </w:r>
      <w:proofErr w:type="gramEnd"/>
      <w:r>
        <w:rPr>
          <w:rFonts w:ascii="Times New Roman" w:hAnsi="Times New Roman" w:cs="Times New Roman"/>
          <w:color w:val="000000"/>
        </w:rPr>
        <w:t xml:space="preserve"> the possibility that the registrar has been so unaware of his duties as to omit to remove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caveat</w:t>
      </w:r>
      <w:proofErr w:type="gramEnd"/>
      <w:r>
        <w:rPr>
          <w:rFonts w:ascii="Times New Roman" w:hAnsi="Times New Roman" w:cs="Times New Roman"/>
          <w:color w:val="000000"/>
        </w:rPr>
        <w:t xml:space="preserve"> on the due date.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372 of [1974] 1 EA 370 (HCK)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Whatever hardship might be suffered by the defendant through the loss of the protecting caveat,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however</w:t>
      </w:r>
      <w:proofErr w:type="gramEnd"/>
      <w:r>
        <w:rPr>
          <w:rFonts w:ascii="Times New Roman" w:hAnsi="Times New Roman" w:cs="Times New Roman"/>
          <w:color w:val="000000"/>
        </w:rPr>
        <w:t>, may to some extent be ameliorated by the provisions of s. 52 of the Transfer of Property Act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1882, precluding dealings with the premises pending the determination of the suit without an order of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therefore dismissed with costs but in view of the difficulty of assessing at this stage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fair instruction fee and of avoiding duplication of fees in the matter I will not as requested direct the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taxation</w:t>
      </w:r>
      <w:proofErr w:type="gramEnd"/>
      <w:r>
        <w:rPr>
          <w:rFonts w:ascii="Times New Roman" w:hAnsi="Times New Roman" w:cs="Times New Roman"/>
          <w:color w:val="000000"/>
        </w:rPr>
        <w:t xml:space="preserve"> and payment of such costs forthwith. The costs accordingly will form part of the plaintiff’s costs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the matter, being added to such other costs as he may be awarded.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44292E" w:rsidRDefault="0044292E" w:rsidP="00442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3278A0" w:rsidRDefault="0044292E" w:rsidP="0044292E">
      <w:r>
        <w:rPr>
          <w:rFonts w:ascii="Times New Roman" w:hAnsi="Times New Roman" w:cs="Times New Roman"/>
          <w:i/>
          <w:iCs/>
          <w:color w:val="000000"/>
        </w:rPr>
        <w:t xml:space="preserve">MK Ndegwa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P Bowry</w:t>
      </w:r>
      <w:r>
        <w:rPr>
          <w:rFonts w:ascii="Times New Roman" w:hAnsi="Times New Roman" w:cs="Times New Roman"/>
          <w:color w:val="000000"/>
        </w:rPr>
        <w:t>, Nakuru)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3278A0"/>
    <w:rsid w:val="0044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ECBF7-18EF-42E4-873A-801763A0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2018-07-06T11:34:00Z</dcterms:created>
  <dcterms:modified xsi:type="dcterms:W3CDTF">2018-07-06T11:34:00Z</dcterms:modified>
</cp:coreProperties>
</file>