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Kibaki v Moi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1 EA 115 (CAK)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December 1999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172 and 173/99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Chunga CJ, Omolo, Shah, Lakha And Owuor JJA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Elections – Presidential elections – Service of petition – Time of service – Mode of service – Whether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both presentation and service of petition had to be effected within 28 days – Whether personal service of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petition on Respondent required – Sections 41, 42A and 44 – Constitution – Section 20 – National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Assembly and Presidential Elections Act – Rules 10 and 14 – National Assembly and Presidential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Elections (Election Petition) Rules.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Judgment – </w:t>
      </w:r>
      <w:r>
        <w:rPr>
          <w:rFonts w:ascii="Times New Roman" w:hAnsi="Times New Roman" w:cs="Times New Roman"/>
          <w:color w:val="000000"/>
        </w:rPr>
        <w:t xml:space="preserve">Stare decisis </w:t>
      </w:r>
      <w:r>
        <w:rPr>
          <w:rFonts w:ascii="Times New Roman" w:hAnsi="Times New Roman" w:cs="Times New Roman"/>
          <w:i/>
          <w:iCs/>
          <w:color w:val="000000"/>
        </w:rPr>
        <w:t xml:space="preserve">– Precedent – Judicial decision as authority – </w:t>
      </w:r>
      <w:r>
        <w:rPr>
          <w:rFonts w:ascii="Times New Roman" w:hAnsi="Times New Roman" w:cs="Times New Roman"/>
          <w:color w:val="000000"/>
        </w:rPr>
        <w:t xml:space="preserve">Obiter dicta </w:t>
      </w:r>
      <w:r>
        <w:rPr>
          <w:rFonts w:ascii="Times New Roman" w:hAnsi="Times New Roman" w:cs="Times New Roman"/>
          <w:i/>
          <w:iCs/>
          <w:color w:val="000000"/>
        </w:rPr>
        <w:t>– High Court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bound by decisions of Court of Appeal – Whether the High Court had acted in breach of the doctrine of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precedent.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the December 1997 Kenyan general election, the First Respondent was declared the winner of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presidential elections with the Appellant coming in second. The results of the elections were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published in the Kenya </w:t>
      </w:r>
      <w:r>
        <w:rPr>
          <w:rFonts w:ascii="Times New Roman" w:hAnsi="Times New Roman" w:cs="Times New Roman"/>
          <w:i/>
          <w:iCs/>
          <w:color w:val="000000"/>
        </w:rPr>
        <w:t>Gazette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116 of [2000] 1 EA 115 (CAK)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79 of 1998 dated 5 January 1998. On 22 January, the Appellant filed a petition in the High Court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challenging the validity of the First Respondent’s election as president of Kenya. As well as the First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Respondent, the electoral commission of Kenya and its chairman, were named in the petition as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 Respondents. Notice regarding the filing of the petition against the three Respondents was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purportedly served through the publication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of 29 January 1998 by the Appellant’s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advocates of notice number 395 dated 22 January 1998. The said notice further directed the three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to obtain copies of the petitions from the deputy registrar of the High Court’s office. The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thereafter appointed advocates to act on their behalf and to obtain copies of the petition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court registry. On 25 January 1999, the First Respondent applied for the petition against him to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struck out on the ground that he had not been served within 28 days of the publication of the election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results as required by section 20 of the National Assembly and Presidential Elections Act. The following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day, the Second and Third Respondents filed a similar notice of motion seeking identical orders to those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sought by the First Respondent. As well as relying on section 20 of the National Assembly and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Presidential Elections Act, the Second and Third Respondents also sought to rely on the provisions of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14 of the National Assembly (Election Petition) Rules to support their application that the petition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struck out. Section 20 provided that a petition had to be presented and served within 28 days after the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of publication of the election results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whereas Rule 14 of the National Assembly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(Election Petiton) Rules provided that notice of the petition together with a copy thereof were to be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served within ten days of the presentation of the petition. Rule 14(2) further provided that where no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address was given for service under Rule 10, notice could be published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stating that a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had been presented and that the Respondent could obtain a copy from the registry. The two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motions were heard together by a bench of three judges of the High Court, which allowed the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applications and struck out the petition. The Appellant appealed against both rulings primarily on the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that the High Court had refused to follow various principles set out in previous Court of Appeal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decisions, that those principles would have worked in his favour and that, by its refusal, he had been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deprived of his established rights. The two appeals were consolidated by consent of all the parties.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High Court had no power to overrule the Court of Appeal and was bound by the principles of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precedent and </w:t>
      </w:r>
      <w:r>
        <w:rPr>
          <w:rFonts w:ascii="Times New Roman" w:hAnsi="Times New Roman" w:cs="Times New Roman"/>
          <w:i/>
          <w:iCs/>
          <w:color w:val="000000"/>
        </w:rPr>
        <w:t>stare decisis</w:t>
      </w:r>
      <w:r>
        <w:rPr>
          <w:rFonts w:ascii="Times New Roman" w:hAnsi="Times New Roman" w:cs="Times New Roman"/>
          <w:color w:val="000000"/>
        </w:rPr>
        <w:t>. Though it had the right and the duty to critically examine the decisions of the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Appeal, it was obliged to follow those decisions unless they could be distinguished from the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case under review on some other principle such as </w:t>
      </w:r>
      <w:r>
        <w:rPr>
          <w:rFonts w:ascii="Times New Roman" w:hAnsi="Times New Roman" w:cs="Times New Roman"/>
          <w:i/>
          <w:iCs/>
          <w:color w:val="000000"/>
        </w:rPr>
        <w:t>obiter dictum</w:t>
      </w:r>
      <w:r>
        <w:rPr>
          <w:rFonts w:ascii="Times New Roman" w:hAnsi="Times New Roman" w:cs="Times New Roman"/>
          <w:color w:val="000000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</w:rPr>
        <w:t xml:space="preserve">Cassel and Co Ltd v Broome </w:t>
      </w:r>
      <w:r>
        <w:rPr>
          <w:rFonts w:ascii="Times New Roman" w:hAnsi="Times New Roman" w:cs="Times New Roman"/>
          <w:color w:val="000000"/>
        </w:rPr>
        <w:t>[1972] 1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ER 801 and </w:t>
      </w:r>
      <w:r>
        <w:rPr>
          <w:rFonts w:ascii="Times New Roman" w:hAnsi="Times New Roman" w:cs="Times New Roman"/>
          <w:i/>
          <w:iCs/>
          <w:color w:val="000000"/>
        </w:rPr>
        <w:t xml:space="preserve">Dodhia v National and Grindlays Bank Ltd </w:t>
      </w:r>
      <w:r>
        <w:rPr>
          <w:rFonts w:ascii="Times New Roman" w:hAnsi="Times New Roman" w:cs="Times New Roman"/>
          <w:color w:val="000000"/>
        </w:rPr>
        <w:t>[1970] EA 195 approved.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rule on the disputes before them in </w:t>
      </w:r>
      <w:r>
        <w:rPr>
          <w:rFonts w:ascii="Times New Roman" w:hAnsi="Times New Roman" w:cs="Times New Roman"/>
          <w:i/>
          <w:iCs/>
          <w:color w:val="000000"/>
        </w:rPr>
        <w:t xml:space="preserve">Chelaite v Njuki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Murathe v Macharia</w:t>
      </w:r>
      <w:r>
        <w:rPr>
          <w:rFonts w:ascii="Times New Roman" w:hAnsi="Times New Roman" w:cs="Times New Roman"/>
          <w:color w:val="000000"/>
        </w:rPr>
        <w:t>, it was not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necessary for the Court of Appeal to determine the issue as to whether section 20 and Rule 14 were in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conflict. Any pronouncements by the court on this issue in those judgments therefore amounted to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judicial dicta and were not binding on the High Court. Thus, the issue of whether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was in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conflict with Rule 14(1) was still open to the High Court to discuss in this petition. There was no reason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differ with the High Court’s conclusion that Rule 14 was in direct conflict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and,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did not apply to petitions concerning that section.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117 of [2000] 1 EA 115 (CAK)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National Assembly and Presidential Elections Act (Chapter 7) and the rules made thereunder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formed a complete regime with regard to election petitions and no other legislation or rules could apply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made applicable by the Act or Rules. Though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did not prescribe any particular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 of service, the best form of service was personal and the courts were obliged to go for that form of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service. Though the Appellant had contended before the High Court that the massive security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surrounding the First Respondent precluded personal service, no effort to serve him had been made and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repelled. Moreover that was a reason that could not have been offered for the failure to serve the Second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Third Respondents. The Appellant had therefore failed to comply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the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appeals would be dismissed.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Chelaite v Njuki and others </w:t>
      </w:r>
      <w:r>
        <w:rPr>
          <w:rFonts w:ascii="Times New Roman" w:hAnsi="Times New Roman" w:cs="Times New Roman"/>
          <w:color w:val="000000"/>
        </w:rPr>
        <w:t>[1998] LLR 2184 (CAK)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Mudavadi v Kibisu and another </w:t>
      </w:r>
      <w:r>
        <w:rPr>
          <w:rFonts w:ascii="Times New Roman" w:hAnsi="Times New Roman" w:cs="Times New Roman"/>
          <w:color w:val="000000"/>
        </w:rPr>
        <w:t>[1970] EA 85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Maitha v Said and another </w:t>
      </w:r>
      <w:r>
        <w:rPr>
          <w:rFonts w:ascii="Times New Roman" w:hAnsi="Times New Roman" w:cs="Times New Roman"/>
          <w:color w:val="000000"/>
        </w:rPr>
        <w:t>[1998] LLR 854 (CAK)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Murathe v Macharia </w:t>
      </w:r>
      <w:r>
        <w:rPr>
          <w:rFonts w:ascii="Times New Roman" w:hAnsi="Times New Roman" w:cs="Times New Roman"/>
          <w:color w:val="000000"/>
        </w:rPr>
        <w:t>[1998] LLR 2233 (CAK)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Wamukota v Donati </w:t>
      </w:r>
      <w:r>
        <w:rPr>
          <w:rFonts w:ascii="Times New Roman" w:hAnsi="Times New Roman" w:cs="Times New Roman"/>
          <w:color w:val="000000"/>
        </w:rPr>
        <w:t>[1986] LLR 2306 (CAK)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Young v Bristol Aeroplane Co Ltd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Canada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Bahner v Marwest Hotel Co Ltd </w:t>
      </w:r>
      <w:r>
        <w:rPr>
          <w:rFonts w:ascii="Times New Roman" w:hAnsi="Times New Roman" w:cs="Times New Roman"/>
          <w:color w:val="000000"/>
        </w:rPr>
        <w:t>(1969) 6 DLR (3rd) 322, 69 WWR 462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Fraser v Wilson (1969) </w:t>
      </w:r>
      <w:r>
        <w:rPr>
          <w:rFonts w:ascii="Times New Roman" w:hAnsi="Times New Roman" w:cs="Times New Roman"/>
          <w:color w:val="000000"/>
        </w:rPr>
        <w:t>6 DLR (3rd) 531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McElroy v Cowper-Smith and Woodman </w:t>
      </w:r>
      <w:r>
        <w:rPr>
          <w:rFonts w:ascii="Times New Roman" w:hAnsi="Times New Roman" w:cs="Times New Roman"/>
          <w:color w:val="000000"/>
        </w:rPr>
        <w:t>(1967) 62 DLR (2nd) 65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McKinnon v FW Woolworth Co Ltd and Johnson </w:t>
      </w:r>
      <w:r>
        <w:rPr>
          <w:rFonts w:ascii="Times New Roman" w:hAnsi="Times New Roman" w:cs="Times New Roman"/>
          <w:color w:val="000000"/>
        </w:rPr>
        <w:t>(1968) 70 DLR (2nd) 280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New Zealand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Fogg v Mcknight </w:t>
      </w:r>
      <w:r>
        <w:rPr>
          <w:rFonts w:ascii="Times New Roman" w:hAnsi="Times New Roman" w:cs="Times New Roman"/>
          <w:color w:val="000000"/>
        </w:rPr>
        <w:t>[1968] NZLR 330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Australian Consolidated Press v Uren </w:t>
      </w:r>
      <w:r>
        <w:rPr>
          <w:rFonts w:ascii="Times New Roman" w:hAnsi="Times New Roman" w:cs="Times New Roman"/>
          <w:color w:val="000000"/>
        </w:rPr>
        <w:t>[1967] 3 All ER 523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Broadway Approvals Ltd v Odhams Press Ltd </w:t>
      </w:r>
      <w:r>
        <w:rPr>
          <w:rFonts w:ascii="Times New Roman" w:hAnsi="Times New Roman" w:cs="Times New Roman"/>
          <w:color w:val="000000"/>
        </w:rPr>
        <w:t>[1964] 2 All ER 904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Broome v Cassel and Co Ltd </w:t>
      </w:r>
      <w:r>
        <w:rPr>
          <w:rFonts w:ascii="Times New Roman" w:hAnsi="Times New Roman" w:cs="Times New Roman"/>
          <w:color w:val="000000"/>
        </w:rPr>
        <w:t>[1971] 2 All ER 187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Cassel and Co Ltd v Broome and another </w:t>
      </w:r>
      <w:r>
        <w:rPr>
          <w:rFonts w:ascii="Times New Roman" w:hAnsi="Times New Roman" w:cs="Times New Roman"/>
          <w:color w:val="000000"/>
        </w:rPr>
        <w:t xml:space="preserve">[1972] 1 All ER 801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Dodhia v National and Grindlay’s Bank Ltd and another </w:t>
      </w:r>
      <w:r>
        <w:rPr>
          <w:rFonts w:ascii="Times New Roman" w:hAnsi="Times New Roman" w:cs="Times New Roman"/>
          <w:color w:val="000000"/>
        </w:rPr>
        <w:t xml:space="preserve">[1970] EA 195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Fielding v Variety Incorporated </w:t>
      </w:r>
      <w:r>
        <w:rPr>
          <w:rFonts w:ascii="Times New Roman" w:hAnsi="Times New Roman" w:cs="Times New Roman"/>
          <w:color w:val="000000"/>
        </w:rPr>
        <w:t>[1967] 2 All ER 497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Hulton v Jones </w:t>
      </w:r>
      <w:r>
        <w:rPr>
          <w:rFonts w:ascii="Times New Roman" w:hAnsi="Times New Roman" w:cs="Times New Roman"/>
          <w:color w:val="000000"/>
        </w:rPr>
        <w:t>[1908–10] All ER 29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Jones v Secretary of State for Social Services </w:t>
      </w:r>
      <w:r>
        <w:rPr>
          <w:rFonts w:ascii="Times New Roman" w:hAnsi="Times New Roman" w:cs="Times New Roman"/>
          <w:color w:val="000000"/>
        </w:rPr>
        <w:t>[1970] 1 All ER 97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Ley v Hamilton </w:t>
      </w:r>
      <w:r>
        <w:rPr>
          <w:rFonts w:ascii="Times New Roman" w:hAnsi="Times New Roman" w:cs="Times New Roman"/>
          <w:color w:val="000000"/>
        </w:rPr>
        <w:t>(1934) 151 LT 360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Mafo v Adams </w:t>
      </w:r>
      <w:r>
        <w:rPr>
          <w:rFonts w:ascii="Times New Roman" w:hAnsi="Times New Roman" w:cs="Times New Roman"/>
          <w:color w:val="000000"/>
        </w:rPr>
        <w:t>[1969] 3 All ER 1404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Mason v Associated Newspapers Ltd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McCarey v Associated Newspapers Ltd </w:t>
      </w:r>
      <w:r>
        <w:rPr>
          <w:rFonts w:ascii="Times New Roman" w:hAnsi="Times New Roman" w:cs="Times New Roman"/>
          <w:color w:val="000000"/>
        </w:rPr>
        <w:t>[1964] 2 All ER 335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Minister of Social Security v Amalgamated Engineering Union </w:t>
      </w:r>
      <w:r>
        <w:rPr>
          <w:rFonts w:ascii="Times New Roman" w:hAnsi="Times New Roman" w:cs="Times New Roman"/>
          <w:color w:val="000000"/>
        </w:rPr>
        <w:t>[1966] 1 All ER 705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Rookes v Barnard </w:t>
      </w:r>
      <w:r>
        <w:rPr>
          <w:rFonts w:ascii="Times New Roman" w:hAnsi="Times New Roman" w:cs="Times New Roman"/>
          <w:color w:val="000000"/>
        </w:rPr>
        <w:t>[1964] 1 All ER 367; [1964] AC 1129</w:t>
      </w:r>
    </w:p>
    <w:p w:rsidR="00300DCD" w:rsidRDefault="00300DCD" w:rsidP="00300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Uren v John Carfax and Sons Pty Ltd </w:t>
      </w:r>
      <w:r>
        <w:rPr>
          <w:rFonts w:ascii="Times New Roman" w:hAnsi="Times New Roman" w:cs="Times New Roman"/>
          <w:color w:val="000000"/>
        </w:rPr>
        <w:t>[1967] ALR 25</w:t>
      </w:r>
    </w:p>
    <w:p w:rsidR="003F18BF" w:rsidRDefault="00300DCD" w:rsidP="00300DCD">
      <w:r>
        <w:rPr>
          <w:rFonts w:ascii="Times New Roman" w:hAnsi="Times New Roman" w:cs="Times New Roman"/>
          <w:color w:val="000080"/>
        </w:rPr>
        <w:t>Page 118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CD"/>
    <w:rsid w:val="00300DCD"/>
    <w:rsid w:val="003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684E0-9EAA-43D8-9D2E-32B2312F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2018-07-05T11:42:00Z</dcterms:created>
  <dcterms:modified xsi:type="dcterms:W3CDTF">2018-07-05T11:43:00Z</dcterms:modified>
</cp:coreProperties>
</file>