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Kibaki v Moi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December 1999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172 and 173/99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Chunga CJ, Omolo, Shah, Lakha And Owuor JJA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Elections – Presidential elections – Service of petition – Time of service – Mode of service – Whether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both presentation and service of petition had to be effected within 28 days – Whether personal service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petition on Respondent required – Sections 41, 42A and 44 – Constitution – Section 20 – National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Assembly and Presidential Elections Act – Rules 10 and 14 – National Assembly and Presidential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Elections (Election Petition) Rules.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Judgment – </w:t>
      </w:r>
      <w:r>
        <w:rPr>
          <w:rFonts w:ascii="Times New Roman" w:hAnsi="Times New Roman" w:cs="Times New Roman"/>
          <w:color w:val="000000"/>
        </w:rPr>
        <w:t xml:space="preserve">Stare decisis </w:t>
      </w:r>
      <w:r>
        <w:rPr>
          <w:rFonts w:ascii="Times New Roman" w:hAnsi="Times New Roman" w:cs="Times New Roman"/>
          <w:i/>
          <w:iCs/>
          <w:color w:val="000000"/>
        </w:rPr>
        <w:t xml:space="preserve">– Precedent – Judicial decision as authority – </w:t>
      </w:r>
      <w:r>
        <w:rPr>
          <w:rFonts w:ascii="Times New Roman" w:hAnsi="Times New Roman" w:cs="Times New Roman"/>
          <w:color w:val="000000"/>
        </w:rPr>
        <w:t xml:space="preserve">Obiter dicta </w:t>
      </w:r>
      <w:r>
        <w:rPr>
          <w:rFonts w:ascii="Times New Roman" w:hAnsi="Times New Roman" w:cs="Times New Roman"/>
          <w:i/>
          <w:iCs/>
          <w:color w:val="000000"/>
        </w:rPr>
        <w:t>– High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bound by decisions of Court of Appeal – Whether the High Court had acted in breach of the doctrine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precedent.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December 1997 Kenyan general election, the First Respondent was declared the winner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presidential elections with the Appellant coming in second. The results of the elections were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published in the Kenya </w:t>
      </w:r>
      <w:r>
        <w:rPr>
          <w:rFonts w:ascii="Times New Roman" w:hAnsi="Times New Roman" w:cs="Times New Roman"/>
          <w:i/>
          <w:iCs/>
          <w:color w:val="000000"/>
        </w:rPr>
        <w:t>Gazette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116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79 of 1998 dated 5 January 1998. On 22 January, the Appellant filed a petition in the High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challenging the validity of the First Respondent’s election as president of Kenya. As well as the First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Respondent, the electoral commission of Kenya and its chairman, were named in the petition 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Respondents. Notice regarding the filing of the petition against the three Respondents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purportedly served through the publication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of 29 January 1998 by the Appellant’s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advocates of notice number 395 dated 22 January 1998. The said notice further directed the three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to obtain copies of the petitions from the deputy registrar of the High Court’s office.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thereafter appointed advocates to act on their behalf and to obtain copies of the petition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court registry. On 25 January 1999, the First Respondent applied for the petition against him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struck out on the ground that he had not been served within 28 days of the publication of the election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results as required by section 20 of the National Assembly and Presidential Elections Act. The following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day, the Second and Third Respondents filed a similar notice of motion seeking identical orders to those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sought by the First Respondent. As well as relying on section 20 of the National Assembly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Elections Act, the Second and Third Respondents also sought to rely on the provisions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14 of the National Assembly (Election Petition) Rules to support their application that the petition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struck out. Section 20 provided that a petition had to be presented and served within 28 days after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of publication of the election results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whereas Rule 14 of the National Assembly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(Election Petiton) Rules provided that notice of the petition together with a copy thereof were to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served within ten days of the presentation of the petition. Rule 14(2) further provided that where no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address was given for service under Rule 10, notice could be published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stating that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had been presented and that the Respondent could obtain a copy from the registry. The two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motions were heard together by a bench of three judges of the High Court, which allowed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applications and struck out the petition. The Appellant appealed against both rulings primarily on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that the High Court had refused to follow various principles set out in previous Court of Appeal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decisions, that those principles would have worked in his favour and that, by its refusal, he had been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deprived of his established rights. The two appeals were consolidated by consent of all the parties.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High Court had no power to overrule the Court of Appeal and was bound by the principles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precedent and </w:t>
      </w:r>
      <w:r>
        <w:rPr>
          <w:rFonts w:ascii="Times New Roman" w:hAnsi="Times New Roman" w:cs="Times New Roman"/>
          <w:i/>
          <w:iCs/>
          <w:color w:val="000000"/>
        </w:rPr>
        <w:t>stare decisis</w:t>
      </w:r>
      <w:r>
        <w:rPr>
          <w:rFonts w:ascii="Times New Roman" w:hAnsi="Times New Roman" w:cs="Times New Roman"/>
          <w:color w:val="000000"/>
        </w:rPr>
        <w:t>. Though it had the right and the duty to critically examine the decisions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Appeal, it was obliged to follow those decisions unless they could be distinguished from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case under review on some other principle such as </w:t>
      </w:r>
      <w:r>
        <w:rPr>
          <w:rFonts w:ascii="Times New Roman" w:hAnsi="Times New Roman" w:cs="Times New Roman"/>
          <w:i/>
          <w:iCs/>
          <w:color w:val="000000"/>
        </w:rPr>
        <w:t>obiter dictum</w:t>
      </w:r>
      <w:r>
        <w:rPr>
          <w:rFonts w:ascii="Times New Roman" w:hAnsi="Times New Roman" w:cs="Times New Roman"/>
          <w:color w:val="00000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</w:rPr>
        <w:t xml:space="preserve">Cassel and Co Ltd v Broome </w:t>
      </w:r>
      <w:r>
        <w:rPr>
          <w:rFonts w:ascii="Times New Roman" w:hAnsi="Times New Roman" w:cs="Times New Roman"/>
          <w:color w:val="000000"/>
        </w:rPr>
        <w:t>[1972] 1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ER 801 and </w:t>
      </w:r>
      <w:r>
        <w:rPr>
          <w:rFonts w:ascii="Times New Roman" w:hAnsi="Times New Roman" w:cs="Times New Roman"/>
          <w:i/>
          <w:iCs/>
          <w:color w:val="000000"/>
        </w:rPr>
        <w:t xml:space="preserve">Dodhia v National and Grindlays Bank Ltd </w:t>
      </w:r>
      <w:r>
        <w:rPr>
          <w:rFonts w:ascii="Times New Roman" w:hAnsi="Times New Roman" w:cs="Times New Roman"/>
          <w:color w:val="000000"/>
        </w:rPr>
        <w:t>[1970] EA 195 approved.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rule on the disputes before them in </w:t>
      </w:r>
      <w:r>
        <w:rPr>
          <w:rFonts w:ascii="Times New Roman" w:hAnsi="Times New Roman" w:cs="Times New Roman"/>
          <w:i/>
          <w:iCs/>
          <w:color w:val="000000"/>
        </w:rPr>
        <w:t xml:space="preserve">Chelaite v Njuki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Murathe v Macharia</w:t>
      </w:r>
      <w:r>
        <w:rPr>
          <w:rFonts w:ascii="Times New Roman" w:hAnsi="Times New Roman" w:cs="Times New Roman"/>
          <w:color w:val="000000"/>
        </w:rPr>
        <w:t>, it was not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necessary for the Court of Appeal to determine the issue as to whether section 20 and Rule 14 were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conflict. Any pronouncements by the court on this issue in those judgments therefore amounted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judicial dicta and were not binding on the High Court. Thus, the issue of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was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conflict with Rule 14(1) was still open to the High Court to discuss in this petition. There was no reason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differ with the High Court’s conclusion that Rule 14 was in direct conflict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did not apply to petitions concerning that section.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117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Assembly and Presidential Elections Act (Chapter 7) and the rules made thereunder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formed a complete regime with regard to election petitions and no other legislation or rules could apply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made applicable by the Act or Rules. Though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did not prescribe any particular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 of service, the best form of service was personal and the courts were obliged to go for that form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service. Though the Appellant had contended before the High Court that the massive security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surrounding the First Respondent precluded personal service, no effort to serve him had been made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repelled. Moreover that was a reason that could not have been offered for the failure to serve the Second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Third Respondents. The Appellant had therefore failed to comply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appeals would be dismissed.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Chelaite v Njuki and others </w:t>
      </w:r>
      <w:r>
        <w:rPr>
          <w:rFonts w:ascii="Times New Roman" w:hAnsi="Times New Roman" w:cs="Times New Roman"/>
          <w:color w:val="000000"/>
        </w:rPr>
        <w:t>[1998] LLR 2184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Mudavadi v Kibisu and another </w:t>
      </w:r>
      <w:r>
        <w:rPr>
          <w:rFonts w:ascii="Times New Roman" w:hAnsi="Times New Roman" w:cs="Times New Roman"/>
          <w:color w:val="000000"/>
        </w:rPr>
        <w:t>[1970] EA 85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Maitha v Said and another </w:t>
      </w:r>
      <w:r>
        <w:rPr>
          <w:rFonts w:ascii="Times New Roman" w:hAnsi="Times New Roman" w:cs="Times New Roman"/>
          <w:color w:val="000000"/>
        </w:rPr>
        <w:t>[1998] LLR 854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Murathe v Macharia </w:t>
      </w:r>
      <w:r>
        <w:rPr>
          <w:rFonts w:ascii="Times New Roman" w:hAnsi="Times New Roman" w:cs="Times New Roman"/>
          <w:color w:val="000000"/>
        </w:rPr>
        <w:t>[1998] LLR 2233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Wamukota v Donati </w:t>
      </w:r>
      <w:r>
        <w:rPr>
          <w:rFonts w:ascii="Times New Roman" w:hAnsi="Times New Roman" w:cs="Times New Roman"/>
          <w:color w:val="000000"/>
        </w:rPr>
        <w:t>[1986] LLR 2306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Young v Bristol Aeroplane Co Ltd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Canada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Bahner v Marwest Hotel Co Ltd </w:t>
      </w:r>
      <w:r>
        <w:rPr>
          <w:rFonts w:ascii="Times New Roman" w:hAnsi="Times New Roman" w:cs="Times New Roman"/>
          <w:color w:val="000000"/>
        </w:rPr>
        <w:t>(1969) 6 DLR (3rd) 322, 69 WWR 462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Fraser v Wilson (1969) </w:t>
      </w:r>
      <w:r>
        <w:rPr>
          <w:rFonts w:ascii="Times New Roman" w:hAnsi="Times New Roman" w:cs="Times New Roman"/>
          <w:color w:val="000000"/>
        </w:rPr>
        <w:t>6 DLR (3rd) 531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McElroy v Cowper-Smith and Woodman </w:t>
      </w:r>
      <w:r>
        <w:rPr>
          <w:rFonts w:ascii="Times New Roman" w:hAnsi="Times New Roman" w:cs="Times New Roman"/>
          <w:color w:val="000000"/>
        </w:rPr>
        <w:t>(1967) 62 DLR (2nd) 65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McKinnon v FW Woolworth Co Ltd and Johnson </w:t>
      </w:r>
      <w:r>
        <w:rPr>
          <w:rFonts w:ascii="Times New Roman" w:hAnsi="Times New Roman" w:cs="Times New Roman"/>
          <w:color w:val="000000"/>
        </w:rPr>
        <w:t>(1968) 70 DLR (2nd) 280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New Zealand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Fogg v Mcknight </w:t>
      </w:r>
      <w:r>
        <w:rPr>
          <w:rFonts w:ascii="Times New Roman" w:hAnsi="Times New Roman" w:cs="Times New Roman"/>
          <w:color w:val="000000"/>
        </w:rPr>
        <w:t>[1968] NZLR 330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Australian Consolidated Press v Uren </w:t>
      </w:r>
      <w:r>
        <w:rPr>
          <w:rFonts w:ascii="Times New Roman" w:hAnsi="Times New Roman" w:cs="Times New Roman"/>
          <w:color w:val="000000"/>
        </w:rPr>
        <w:t>[1967] 3 All ER 523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Broadway Approvals Ltd v Odhams Press Ltd </w:t>
      </w:r>
      <w:r>
        <w:rPr>
          <w:rFonts w:ascii="Times New Roman" w:hAnsi="Times New Roman" w:cs="Times New Roman"/>
          <w:color w:val="000000"/>
        </w:rPr>
        <w:t>[1964] 2 All ER 904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Broome v Cassel and Co Ltd </w:t>
      </w:r>
      <w:r>
        <w:rPr>
          <w:rFonts w:ascii="Times New Roman" w:hAnsi="Times New Roman" w:cs="Times New Roman"/>
          <w:color w:val="000000"/>
        </w:rPr>
        <w:t>[1971] 2 All ER 187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Cassel and Co Ltd v Broome and another </w:t>
      </w:r>
      <w:r>
        <w:rPr>
          <w:rFonts w:ascii="Times New Roman" w:hAnsi="Times New Roman" w:cs="Times New Roman"/>
          <w:color w:val="000000"/>
        </w:rPr>
        <w:t xml:space="preserve">[1972] 1 All ER 801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Dodhia v National and Grindlay’s Bank Ltd and another </w:t>
      </w:r>
      <w:r>
        <w:rPr>
          <w:rFonts w:ascii="Times New Roman" w:hAnsi="Times New Roman" w:cs="Times New Roman"/>
          <w:color w:val="000000"/>
        </w:rPr>
        <w:t xml:space="preserve">[1970] EA 195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Fielding v Variety Incorporated </w:t>
      </w:r>
      <w:r>
        <w:rPr>
          <w:rFonts w:ascii="Times New Roman" w:hAnsi="Times New Roman" w:cs="Times New Roman"/>
          <w:color w:val="000000"/>
        </w:rPr>
        <w:t>[1967] 2 All ER 497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Hulton v Jones </w:t>
      </w:r>
      <w:r>
        <w:rPr>
          <w:rFonts w:ascii="Times New Roman" w:hAnsi="Times New Roman" w:cs="Times New Roman"/>
          <w:color w:val="000000"/>
        </w:rPr>
        <w:t>[1908–10] All ER 29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Jones v Secretary of State for Social Services </w:t>
      </w:r>
      <w:r>
        <w:rPr>
          <w:rFonts w:ascii="Times New Roman" w:hAnsi="Times New Roman" w:cs="Times New Roman"/>
          <w:color w:val="000000"/>
        </w:rPr>
        <w:t>[1970] 1 All ER 97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Ley v Hamilton </w:t>
      </w:r>
      <w:r>
        <w:rPr>
          <w:rFonts w:ascii="Times New Roman" w:hAnsi="Times New Roman" w:cs="Times New Roman"/>
          <w:color w:val="000000"/>
        </w:rPr>
        <w:t>(1934) 151 LT 360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Mafo v Adams </w:t>
      </w:r>
      <w:r>
        <w:rPr>
          <w:rFonts w:ascii="Times New Roman" w:hAnsi="Times New Roman" w:cs="Times New Roman"/>
          <w:color w:val="000000"/>
        </w:rPr>
        <w:t>[1969] 3 All ER 1404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Mason v Associated Newspapers Ltd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McCarey v Associated Newspapers Ltd </w:t>
      </w:r>
      <w:r>
        <w:rPr>
          <w:rFonts w:ascii="Times New Roman" w:hAnsi="Times New Roman" w:cs="Times New Roman"/>
          <w:color w:val="000000"/>
        </w:rPr>
        <w:t>[1964] 2 All ER 335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Minister of Social Security v Amalgamated Engineering Union </w:t>
      </w:r>
      <w:r>
        <w:rPr>
          <w:rFonts w:ascii="Times New Roman" w:hAnsi="Times New Roman" w:cs="Times New Roman"/>
          <w:color w:val="000000"/>
        </w:rPr>
        <w:t>[1966] 1 All ER 705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Rookes v Barnard </w:t>
      </w:r>
      <w:r>
        <w:rPr>
          <w:rFonts w:ascii="Times New Roman" w:hAnsi="Times New Roman" w:cs="Times New Roman"/>
          <w:color w:val="000000"/>
        </w:rPr>
        <w:t>[1964] 1 All ER 367; [1964] AC 1129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Uren v John Carfax and Sons Pty Ltd </w:t>
      </w:r>
      <w:r>
        <w:rPr>
          <w:rFonts w:ascii="Times New Roman" w:hAnsi="Times New Roman" w:cs="Times New Roman"/>
          <w:color w:val="000000"/>
        </w:rPr>
        <w:t>[1967] ALR 25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118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CHUNGA CJ, OMOLO, SHAH, LAKHA AND OWUOR JJA: </w:t>
      </w:r>
      <w:r>
        <w:rPr>
          <w:rFonts w:ascii="Times New Roman" w:hAnsi="Times New Roman" w:cs="Times New Roman"/>
          <w:color w:val="000000"/>
        </w:rPr>
        <w:t>These two appeals, apart from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undeniable fact that they involve persons of no mean status in our county, raise issues very crucial to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jurisprudence of our legal system as we have hitherto understood it to be. The Appellant in both appeals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Mwai Kibaki who is the leader of the official opposition in Parliament. The Respondent in civil appeal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172 of 1999 is Daniel Toroitich Arap Moi, the president and commander-in-chief of the armed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forces of the Republic. We shall hereinafter refer to him as the First Respondent. There are two other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in civil appeal number 173 of 1999. They are S M Kivuitu and the Electoral Commission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Kenya; we shall hereinafter refer to these latter two as the Second and Third Respondents respectively.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Respondent is the chairman of the Third Respondent. The Third Respondent is a body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created by section 41 of the country’s Constitution and by virtue of section 42A of the Constitution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Third Respondent’s functions are tabulated to be: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registration of voters and the maintenance and revision of the register of voters;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directing and supervising the presidential National Assembly and local government elections;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promoting free and fair elections;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promoting voter education in Kenya;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such other functions as may be prescribed by law”.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this tabulation that the Third Respondent and its chairman the Second Respondent are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crucial to the democratic system of governance that Kenya, like all other emerging democracies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struggling to put in place. We said from the outset that the parties involved in the two appeals are persons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no mean status in our Republic. That must be apparent from the short description we have so far given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each one of them. We only need to add that the two appeals were consolidated by the consent of all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Republic of Kenya held its last general elections on 29 and 30 December 1997. At those elections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the First Respondent were among the candidates who contested for the office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president. The result of the presidential elections was published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number 79 of 1998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dated 5 January 1998. The First Respondent was declared the winner with 2 445 801 votes.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was the runner-up with 1 895 527 votes.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Pursuant to section 44 of the Constitution, the Appellant, on 22 January 1998, filed in the High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election petition number 1 of 1998 to challenge the validity of the First Respondent’s election as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president of Kenya. On 29 January 1998 the Appellant had published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395 the following and we quote: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Constitution of Kenya: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National Assembly and Presidential Elections Act (Chapter 7)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Election Offences Act (Chapter 66)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High Court of Kenya at Nairobi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Election Petition Number 1 of 1998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Between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Mwai Kibaki (petitioner)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119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versus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Daniel Toroitich Arap Moi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S. M. Kivuitu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Electoral Commission of Kenya (Respondents)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Daniel Toroitich Arap Moi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S. M. Kivuitu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Electoral Commission of Kenya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Take notice that an election petition has been presented and filed in the High Court of Kenya at Nairobi, by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Mwai Kibaki, relating to the election of Daniel Toroitich Arap Moi, as the president of the Republic of Kenya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presidential elections that took place on the 29 and 30 December 1997. And further take notice that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true copy of the petition may be obtained by you on application at the office of the registrar/the deputy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registrar, High Court of Kenya, law courts, P.O. Box 30014, Nairobi.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Dated the 22 January 1998.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Pheroze Nowrojee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Advocate for the petitioner”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found it necessary to set out this notice in full because it was agreed on all sides that this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only mode adopted by lodged in the High Court on 22 January 1998.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Respondent, in turn appointed Messrs Kilonzo and Company Advocates as his advocates 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February 1998. The Second and Third Respondent also appointed their advocates on 3 February 1998.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assume that before the appointment of Messrs Kilonzo and Company Advocates by the First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on 2 February 1998, the First Respondent had not pursuant to Rule 10 of the National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 Elections (Election Petition) Rules (“the Rules” hereinafter), left at the office of the registrar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signed by him or on his behalf, appointing an advocate to advocate in case there should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against him or that he intends to act for himself, and in either case, giving an address in Kenya 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notices addressed to him may be left where such writing is left with the registrar by an elected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person, all notices and proceedings may be given or served by leaving them at the office of the registrar.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relevance of these observations will in due course become apparent. We have already said that all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Respondents were served with the petition through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of 29 January 1998 and which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notice we have set out in full. On 25 January 1999, one year after the presentation of the petition,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Respondent took out a notice of motion which was said to be under section 20 of the National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 and Presidential Elections Act Chapter 7 (“the Act” hereinafter) and in his motion, the First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asked for three basic orders, namely: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That the petition be struck out an the ground that the same was not served on the First Respondent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within 28 days after the date of the publication of the result of the presidential election in the gazette 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all;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That pending the hearing and determination of this application, all proceedings herein be stayed;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That the petitioner do pay the cost of the First Respondent in respect of the petition as well as of this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application”.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motion was supported by the affidavit, the First Respondent’s averments were to this effect: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120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“2. That a notice of the result of the 1997 presidential election, whereby I was declared to be elected 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president, was published in the gazette on 5 January 1998. I learnt of this fact from the local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newspapers.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hat I have not been served personally with the petition in this case, either within 28 days after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date of said publication as required by section 20(1) of the National Assembly and Presidential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Elections Act (Chapter 7) or at all.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T hat on 2 February 1998, I instructed Messrs Kilonzo and Company Advocates of Nairobi to act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 in this matter and to obtain a copy of the petition from the court registry.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T hat what is stated above is true to my knowledge”.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thus clear from the notice of motion and the supporting affidavit that the question of service under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 of the Act was directly put in issue.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and Third Respondents also joined in the fray and on the 26 January 1999, they also filed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second notice of motion seeking similar orders as those sought in the motion by the First Respondent.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the motion by the Second and Third Respondents was stated to have been brought not only under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 of the Act but also pursuant to Rule 14 of the Rules.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Needless to say the two motions were vigorously opposed by the Appellant who in turn filed grounds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objection and also replying affidavits. The two motions were heard together by O’kubasu,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Mbogholi-Msagha and Ole Keiwua JJ and by their ruling delivered on the 22 July 1999, the Learned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Judges acceded to the motions by the Respondents and struck out the Appellant’s petition. It is that order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striking out the Appellant’s petition which the provoked the appeal before us.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We started this judgment by remarking that the two appeals before us raise issues very crucial to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jurisprudence of our legal system as we have hitherto understood it to be. We can now show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relevance of that remark. In civil appeal number 172 of 1999, the first ten grounds of appeal are 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High Court overruled the Court of Appeal.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T he High Court erred in flouting the first principles of precedent and the doctrine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stare decisis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he High Court has no power or status to determine whether the decision, reasoning or words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of Appeal judgments are or are not, ‘rather wide’.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T he High Court accordingly erred in denying on that basis the Appellant of his lawful orders, and dues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High Court.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T he High Court cannot deny a party a decision in accordance with the Court of Appeal’s existing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judgments or conclusions on the basis that it disagrees with those conclusions or judgments.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6. T he High Court was bound by the numerous Court of Appeal judgments and decisions cited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refusal to follow them has damaged our legal system and has brought it into disrepute.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T he High Court was bound by each of the said Court of Appeal judgments and decisions and erred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allowing the Respondent’s application to strike out the Election Petition in the face of those judgments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decisions.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8. I n the High Court the Respondent submitted that the Court of Appeal was wrong in several parts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several of its said judgments and decisions and the High Court erred and was unprofessional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entertaining and eventually upholding such flawed and unprofessional submissions.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121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9. T he High Court had no jurisdiction so to do.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10. The High Court has acted without and/or in excess of its jurisdiction and powers”.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substance to be gleaned from these ten grounds is that there are several decisions of this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establishing certain principles of law, that those principles were all in favour of the Appellant, that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High Court was bound by those principles on the basic of the doctrine of </w:t>
      </w:r>
      <w:r>
        <w:rPr>
          <w:rFonts w:ascii="Times New Roman" w:hAnsi="Times New Roman" w:cs="Times New Roman"/>
          <w:i/>
          <w:iCs/>
          <w:color w:val="000000"/>
        </w:rPr>
        <w:t>stare decisis</w:t>
      </w:r>
      <w:r>
        <w:rPr>
          <w:rFonts w:ascii="Times New Roman" w:hAnsi="Times New Roman" w:cs="Times New Roman"/>
          <w:color w:val="000000"/>
        </w:rPr>
        <w:t>, but that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contumacious violation of that doctrine, namely the 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>aforesaid, the High Court set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nought the principles of law previously established by the Court of Appeal and thus deprived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of what was his established right or entitlement at law. If we were to be satisfied that the High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did all or any of these things that would constitute a very serious indictment of our judicial system’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would join the Appellant and Mr </w:t>
      </w:r>
      <w:r>
        <w:rPr>
          <w:rFonts w:ascii="Times New Roman" w:hAnsi="Times New Roman" w:cs="Times New Roman"/>
          <w:i/>
          <w:iCs/>
          <w:color w:val="000000"/>
        </w:rPr>
        <w:t xml:space="preserve">Nowrojee </w:t>
      </w:r>
      <w:r>
        <w:rPr>
          <w:rFonts w:ascii="Times New Roman" w:hAnsi="Times New Roman" w:cs="Times New Roman"/>
          <w:color w:val="000000"/>
        </w:rPr>
        <w:t>in asserting and we assert together with them.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That the High Court has no power to overrule the Court of Appeal;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High Court has no jurisdiction to flout the first principles of precedent and stare decisis;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That the High Court, while it has the right and indeed the duty to critically examine the decisions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this Court must in the end follow those decisions unless they can be distinguished from the case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under review on some other principle such as that of </w:t>
      </w:r>
      <w:r>
        <w:rPr>
          <w:rFonts w:ascii="Times New Roman" w:hAnsi="Times New Roman" w:cs="Times New Roman"/>
          <w:i/>
          <w:iCs/>
          <w:color w:val="000000"/>
        </w:rPr>
        <w:t xml:space="preserve">obiter dictum </w:t>
      </w:r>
      <w:r>
        <w:rPr>
          <w:rFonts w:ascii="Times New Roman" w:hAnsi="Times New Roman" w:cs="Times New Roman"/>
          <w:color w:val="000000"/>
        </w:rPr>
        <w:t>if applicable.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principles of precedent and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>are so well established in the Commonwealth jurisdictions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even the ever-crusading Lord Denning was hardly able to make any appreciable dent in them.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Broome v Cassel and Co Ltd </w:t>
      </w:r>
      <w:r>
        <w:rPr>
          <w:rFonts w:ascii="Times New Roman" w:hAnsi="Times New Roman" w:cs="Times New Roman"/>
          <w:color w:val="000000"/>
        </w:rPr>
        <w:t>[1971] 2 All ER 187, Lord Denning took on the House of Lords in these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words: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“Yet, when the House of Lords came to deliver their speeches, Lord Devlin threw over all that we ever knew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about exemplary damages. He knocked down the common law as it had existed for centuries. He laid down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new doctrine about exemplary damages. He said that they could only be awarded in two very limited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categories, but in no other category; and all the other Lords agreed with him.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new doctrine has up till now been assumed in this Court as a doctrine to be applied: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McCarey v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Associated Newspapers Ltd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Broadway Approvals Ltd v Odhams Press Ltd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Fielding v Variety Incorporated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Mafo v Adams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It was applied by Widgery 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Mason v Associated Newspapers Ltd. </w:t>
      </w:r>
      <w:r>
        <w:rPr>
          <w:rFonts w:ascii="Times New Roman" w:hAnsi="Times New Roman" w:cs="Times New Roman"/>
          <w:color w:val="000000"/>
          <w:sz w:val="20"/>
          <w:szCs w:val="20"/>
        </w:rPr>
        <w:t>But it has not been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accepted in the countries of the Commonwealth. The High Court of Australia has subjected this new doctrine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 devastating criticism and has refused to follow it: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Uren v John Fairfax and Sons Pty Ltd</w:t>
      </w:r>
      <w:r>
        <w:rPr>
          <w:rFonts w:ascii="Times New Roman" w:hAnsi="Times New Roman" w:cs="Times New Roman"/>
          <w:color w:val="000000"/>
          <w:sz w:val="20"/>
          <w:szCs w:val="20"/>
        </w:rPr>
        <w:t>. The Privy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Council has supported the High Court of Australia in a judgment which marshals with convincing force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arguments against the new doctrine: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Australian Consolidated Press Ltd v Uren</w:t>
      </w:r>
      <w:r>
        <w:rPr>
          <w:rFonts w:ascii="Times New Roman" w:hAnsi="Times New Roman" w:cs="Times New Roman"/>
          <w:color w:val="000000"/>
          <w:sz w:val="20"/>
          <w:szCs w:val="20"/>
        </w:rPr>
        <w:t>. The Supreme Court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Canada, together with the Courts of Alberta, Ontario, British Columbia and Manitoba, have repudiated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new doctrine: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McElroy v Cowper-Smith and Woodman; McKinnon v F W Woolworth Co Ltd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Johnson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Bahner v Marwest Hotel Co Ltd and Fraser v Wilson</w:t>
      </w:r>
      <w:r>
        <w:rPr>
          <w:rFonts w:ascii="Times New Roman" w:hAnsi="Times New Roman" w:cs="Times New Roman"/>
          <w:color w:val="000000"/>
          <w:sz w:val="20"/>
          <w:szCs w:val="20"/>
        </w:rPr>
        <w:t>. The Courts of New Zealand also declined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follow it: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Fogg v McKnight</w:t>
      </w:r>
      <w:r>
        <w:rPr>
          <w:rFonts w:ascii="Times New Roman" w:hAnsi="Times New Roman" w:cs="Times New Roman"/>
          <w:color w:val="000000"/>
          <w:sz w:val="20"/>
          <w:szCs w:val="20"/>
        </w:rPr>
        <w:t>. The Courts of the United States of America know nothing of this new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doctrine. They go by the settled doctrine of the common law as to punitive damages and would not dream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changing it. It is well stated 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Re-statement of the Law of Torts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wholesale condemnation justifies us, I think, in examining this new doctrine for ourselves; and I make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bold as to say that it should not be followed any longer in this country. I say this primarily because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common law of England on this subject was so well settled before 1964 – and on such sound and secure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foundations – that it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122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was not open to the House of Lords to overthrow it. It could only be done by the legislature. We say it also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because the counsel who argued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Rookes v Barnard </w:t>
      </w:r>
      <w:r>
        <w:rPr>
          <w:rFonts w:ascii="Times New Roman" w:hAnsi="Times New Roman" w:cs="Times New Roman"/>
          <w:color w:val="000000"/>
          <w:sz w:val="20"/>
          <w:szCs w:val="20"/>
        </w:rPr>
        <w:t>accepted the common law as it had been understood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centuries and did not suggest any alteration of it. Yet the House, without argument, laid down this new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doctrine. If the House were going to lay down this new doctrine – so as to be binding on all our courts – it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ought at least to have required it to be argued. They might then have been told of the difficulties which it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might bring in its wake, particularly when there are two Defendants, as in this case. Next, I say that there were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two previous cases in which the House of Lords clearly approved the award of exemplary damages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accordance with the settled doctrine of common law. They 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Hulton v Jones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Ley v Hamilton</w:t>
      </w:r>
      <w:r>
        <w:rPr>
          <w:rFonts w:ascii="Times New Roman" w:hAnsi="Times New Roman" w:cs="Times New Roman"/>
          <w:color w:val="000000"/>
          <w:sz w:val="20"/>
          <w:szCs w:val="20"/>
        </w:rPr>
        <w:t>. It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 open to the House in 1964 to go against those decisions. Lord Devlin must have overlooked them 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misunderstood them, for he said that: ‘There is not any decision of this House approving an award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exemplary damages’; and yet there were those two. Finally, I say that the new doctrine is hopelessly illogical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inconsistent”.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was Lord Denning at his intellectual best. Not only criticising but refusing to follow the case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Rookes v Barnard </w:t>
      </w:r>
      <w:r>
        <w:rPr>
          <w:rFonts w:ascii="Times New Roman" w:hAnsi="Times New Roman" w:cs="Times New Roman"/>
          <w:color w:val="000000"/>
        </w:rPr>
        <w:t>[1964] 1 All ER 367; [1964] AC 1129 which was a decision of the House of Lords,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superior to the Court of Appeal of England where Lord Denning, as the Master of the Rolls,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presided, Lord Denning went further to advise other courts below the Court of Appeal not to follow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Rookes v Barnard</w:t>
      </w:r>
      <w:r>
        <w:rPr>
          <w:rFonts w:ascii="Times New Roman" w:hAnsi="Times New Roman" w:cs="Times New Roman"/>
          <w:color w:val="000000"/>
        </w:rPr>
        <w:t>. Not surprisingly, there was an appeal to the House of Lords from the decision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 Delivering his speech in the House of Lords, Lord Hailsham of St Marylebone LC, had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to say, and we quote him: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fact is, and I hope it will never be necessary to say so again, that, in the hierarchial system of courts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exists in this country, it is necessary for each lower tier, including the Court of Appeal, to accept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loyally the decisions of the higher tiers. Where decisions manifestly conflict, the decision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Young v Bristol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Aeroplane Co Ltd </w:t>
      </w:r>
      <w:r>
        <w:rPr>
          <w:rFonts w:ascii="Times New Roman" w:hAnsi="Times New Roman" w:cs="Times New Roman"/>
          <w:color w:val="000000"/>
          <w:sz w:val="20"/>
          <w:szCs w:val="20"/>
        </w:rPr>
        <w:t>offers guidance to each tier in matters affecting its own decisions. It does not entitle it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question considered decisions in the upper tiers with the same freedom. Even this House, since it has taken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freedom to review its own decisions, will do so cautiously. That this is so is apparent from the terms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declaration of 1966 itself where Lord Gardiner LC said: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‘Their Lordships regard the use of precedent as an indispensable foundation upon which to decide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is the law and its application to individual cases. It provides at least some degree of certainty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upon which individuals can rely in the conduct of their affairs, as well as a basis for orderly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development of legal rules. Their lordships nevertheless recognise that too rigid adherence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precedent may lead to injustice in a particular case and also unduly restrict the proper development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law. They propose therefore to modify their present practice and, while treating former decisions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house as normally binding, to depart from a previous decision when it appears right to do so.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connexion they will bear in mind the danger of disturbing retrospectively the basis on which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contracts, settlements of property and fiscal arrangements have been entered into and also the especial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need for certainty as to the criminal law. This announcement is not intended to affect the use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precedent elsewhere than in this house.’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It is also apparent from the recent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Jones v Secretary of State For Social Services</w:t>
      </w:r>
      <w:r>
        <w:rPr>
          <w:rFonts w:ascii="Times New Roman" w:hAnsi="Times New Roman" w:cs="Times New Roman"/>
          <w:color w:val="000000"/>
          <w:sz w:val="20"/>
          <w:szCs w:val="20"/>
        </w:rPr>
        <w:t>, where the decision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Minister of Social Security v Amalgamated Engineering Union </w:t>
      </w:r>
      <w:r>
        <w:rPr>
          <w:rFonts w:ascii="Times New Roman" w:hAnsi="Times New Roman" w:cs="Times New Roman"/>
          <w:color w:val="000000"/>
          <w:sz w:val="20"/>
          <w:szCs w:val="20"/>
        </w:rPr>
        <w:t>came up for review under the 1966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declaration, that the house will act sparingly and cautiously in the use made of the freedom assumed by this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declaration. In addition, the last sentence of the declaration as quoted above clearly affirms the continued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adherence of this house to the doctrine of precedent as it has been hitherto applied to and in the Court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Appeal – see Lord Hailsham, LC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Cassel and Co Ltd v Broome and another</w:t>
      </w:r>
      <w:r>
        <w:rPr>
          <w:rFonts w:ascii="Times New Roman" w:hAnsi="Times New Roman" w:cs="Times New Roman"/>
          <w:color w:val="000000"/>
          <w:sz w:val="20"/>
          <w:szCs w:val="20"/>
        </w:rPr>
        <w:t>, [1972] 1 All ER 801 at 809g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j and 810a to c”.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123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found it necessary to extensively quote from these cases in England because they illustrate very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the kind of problems we are called upon to decide, particularly as regards grounds one to ten in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memorandum of appeal which we have set out elsewhere in the judgment. It is also worth remarking here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1966 declaration by the House of Lords was adopted by the Court of Appeal from East Africa,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predecessor of this Court, in the case of </w:t>
      </w:r>
      <w:r>
        <w:rPr>
          <w:rFonts w:ascii="Times New Roman" w:hAnsi="Times New Roman" w:cs="Times New Roman"/>
          <w:i/>
          <w:iCs/>
          <w:color w:val="000000"/>
        </w:rPr>
        <w:t>Dodhia v National and Grindlay’s Bank Ltd and another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[1970] EA 195, where it was held that: “The Court of Appeal while it would normally regard a previous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 of its own binding, should feel free in both civil and criminal cases to depart from such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decisions when it appears right to do so”.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Kenya Court of Appeal has steadfastly reminded loyal to this principle and the consequence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is that the courts of this country has continued to adhere to the principles of precedent and stare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decisis and that is why we have joined the Appellant and his counsel in asserting the continued adherence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principles. We can then now turn to an examination of whether the High Court by its decision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appealed from is guilty of all or any of the grounds listed as one to ten in the memorandum of appeal.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that was argued before the High Court was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was in 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irreconcilable conflict with Rule 14 of the Rules. Section 20(1) after its amendment by Act 10 of 1997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 reads: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“20(1) A petition: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 o question the validity of an election shall be presented and served within 28 days after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date of publication of the result of the election in the Gazette;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 o seek a declaration that a seat in the National Assembly has not become vacant, shall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presented and served with 28 days after the date of publication of the notice published under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section 18;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 o seek a declaration that a seat in the National Assembly has become vacant, may be presented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any time.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 o seek a declaration that a seat in the National Assembly has become vacant, may be presented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any time.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(i) . . 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(ii) . . .”.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the amendment of 1997,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merely provided that a petition was to be presented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within 28 days but the 1997 amendment introduced another requirement, namely that not only must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be presented within 28 days but that it must also be served within the same 28 days. The issue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of the amendment. Rule 14, however, has not been amended and remains as it was in 1997.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provides: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“14(1) Notice of presentation of a petition, accompanied by a copy of the petition, shall within ten days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presentation of the petition, be served by the petitioner on the Respondent.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Service may be effected either by delivering the notice and copy to the advocate appointed by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Respondent under Rule 10 or by posting them by a registered letter to the address given under Rule 10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that in the ordinary course of post, the letter would be delivered within the time above mentioned,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 if no advocate has been appointed, or no such address has been given, by a notice published in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Gazette stating that the petition has been presented and that a copy of it may be obtained by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Respondent on application at the office of the Registrar”.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124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have, elsewhere, set out in full the notice published by the Appellant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. We also pointed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 that it is likely the First Respondent in particular did not leave with the registrar a writing signed by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 showing who his advocates were and their address in Kenya or that he was to act for himself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he could be served. So the Appellant chose to serve all the Respondents through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they contended they were entitled to do so under in accordance with Rule 14. The motion by each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seeking to strike out the petition was predicated on the contention that since the amendment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Act, Rule 14 has become irrelevant as it is in conflict with the section.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conflict which the Respondents asserted was that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requires that the petition be filed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served within 28 days while Rule 14 provides that it can be served within 10 days after the date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presentation so that if a party filed his petition say on the 28th day after the publication of the result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, such a party would still have another 10 days from the 28th day to serve the Respondent.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would be good service under Rule 14, but it would clearly be bad service under the Act.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Appellant, on the other hand, contended that there was not such irreconcilable conflict between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Act and Rule 14. Both in the High Court and before us, Mr </w:t>
      </w:r>
      <w:r>
        <w:rPr>
          <w:rFonts w:ascii="Times New Roman" w:hAnsi="Times New Roman" w:cs="Times New Roman"/>
          <w:i/>
          <w:iCs/>
          <w:color w:val="000000"/>
        </w:rPr>
        <w:t>Nowrojee</w:t>
      </w:r>
      <w:r>
        <w:rPr>
          <w:rFonts w:ascii="Times New Roman" w:hAnsi="Times New Roman" w:cs="Times New Roman"/>
          <w:color w:val="000000"/>
        </w:rPr>
        <w:t>, for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Appellant, relied on the passage of Gicheru JA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Maitha v Said and another </w:t>
      </w:r>
      <w:r>
        <w:rPr>
          <w:rFonts w:ascii="Times New Roman" w:hAnsi="Times New Roman" w:cs="Times New Roman"/>
          <w:color w:val="000000"/>
        </w:rPr>
        <w:t>[1998] LLR 854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(CAK), where in dealing with the issue of conflict between a statute and rule made thereunder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 says this: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“At 302 of the 9 Edition of the Construction of Deeds and Statutes by Sir Charles Odgers, it is stipulated 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follows in connection with interpretation of delegated legislation and in particular the Rules made under 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Act of Parliament: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‘Rules must be read together with their relevant Act; they cannot repeal or contradict the express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provisions in the Act from which their authority’.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 Act is plain, the Rules must be interpreted so as to be reconciled with it or, if it cannot be reconciled,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Rule must give way to the plain terms of the Act. Where an Act passed subsequently to the making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Rules, is inconsistent with them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unless it was clearly passed with a different object and then the two will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stand together”.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issue in the </w:t>
      </w:r>
      <w:r>
        <w:rPr>
          <w:rFonts w:ascii="Times New Roman" w:hAnsi="Times New Roman" w:cs="Times New Roman"/>
          <w:i/>
          <w:iCs/>
          <w:color w:val="000000"/>
        </w:rPr>
        <w:t xml:space="preserve">Maitha </w:t>
      </w:r>
      <w:r>
        <w:rPr>
          <w:rFonts w:ascii="Times New Roman" w:hAnsi="Times New Roman" w:cs="Times New Roman"/>
          <w:color w:val="000000"/>
        </w:rPr>
        <w:t>case in which these observation were made was whether there was a conflict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section 23(4) of the Act which provides that: “subject to subsection (5) an appeal shall lie to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from any decision of an election court whether the decision be interlocutory or final,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within 30 days of the decision” and the Rules of the Court of Appeal under which a notice of appeal is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lodged within 14 days from the date of the decision and the appeal itself being lodgeable within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60 days from the date of lodging the notice of appeal. Maitha had filed a notice of appeal within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days and then lodged his appeal well before the expiry of the 60 days allowed by the Rules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but outside the 30 days prescribed under section 23(5) of the Act. The majority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Court, which included Gicheru JA, had no difficulty in holding that the appeal was incompetent as it had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lodged outside the period allowed by the Rules. The Rules had to give way to the plain provisions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statute and that is what is set out in the passage from the ruling of Gicheru JA which we have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quoted.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125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Appellant’s contention, however, was that the Court of Appeal itself had decided in at least two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cases that there was in fact no conflict between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and Rule 14. These cases are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Chelaite v Njuki and others </w:t>
      </w:r>
      <w:r>
        <w:rPr>
          <w:rFonts w:ascii="Times New Roman" w:hAnsi="Times New Roman" w:cs="Times New Roman"/>
          <w:color w:val="000000"/>
        </w:rPr>
        <w:t xml:space="preserve">[1998] LLR 2184 (CAK) and </w:t>
      </w:r>
      <w:r>
        <w:rPr>
          <w:rFonts w:ascii="Times New Roman" w:hAnsi="Times New Roman" w:cs="Times New Roman"/>
          <w:i/>
          <w:iCs/>
          <w:color w:val="000000"/>
        </w:rPr>
        <w:t xml:space="preserve">Murathe v Macharia </w:t>
      </w:r>
      <w:r>
        <w:rPr>
          <w:rFonts w:ascii="Times New Roman" w:hAnsi="Times New Roman" w:cs="Times New Roman"/>
          <w:color w:val="000000"/>
        </w:rPr>
        <w:t>[1998] LLR 2233 (CAK).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>’s case, Kwach JA, is recorded as saying: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“Assuming for the purposes of argument only that Rule 14(1) is in conflict with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 under the ordinary canons of statutory interpretation, the provisions of the Act must prevail. I am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satisfied that Parliament has properly exercised the powers given to it by section 44 of the Constitution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there is no conflict between that section of the Constitution and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Act. I am equally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satisfied that in dealing with the issue of service under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rather than leaving it to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rules committee, Parliament acted within its legislative authority and did not unsurp the power of the rules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Committee. As a matter of construction Rules 14(1) can still be reconciled with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there is really no conflict between the two provisions”.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Earlier on, the Learned Judge of Appeal had said and we once again quote him: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“All that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says is that a petitioner must present and serve his petition within 28 days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the date of publication of the result of the election in the gazette. In fixing the date of presentation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petition the petitioner must make sure not only that service is effected on the Respondent within ten days 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required by Rule 14(1) of the Rules, but also that this is done within twenty eight days, from the date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publication of the result of the election in the gazette. So in effect presentation is governed by publication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result while service is governed by presentation and both these steps must be taken within twenty eight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days”.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late Pall JA was the second member of the court in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>’s case and for his part he had this to say: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do not find any conflict in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and Rule 14 of the Rules and in case there be any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conflict then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being an Act of Parliament must prevail over Rule 14 which is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subsidiary legislation. Similarly I do not find any conflict in section 44(4) of the Constitution and section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23(3) of the Act and in case of any conflict section 44 of the Constitution will supersede section 23(3)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Act by virtue of section 3 of the Constitution”.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third member of the court, Owuor JA, originally had reservations of her own, but in the end, she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agreed with the other members of the court and concluded: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the course of argument, I was inclined to think that there was indeed a conflict between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 National Assembly and Presidential Elections Act Chapter 7 and Rule 14(1) of the National Assembly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Elections (Election Petition) Rules, but on reflections and having read my brothers’ judgments, I am satisfied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there is none. The efficacy of Rule 14(1) has not been affected by the amendment of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Act introduced by Act number 10 of 1997”.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 the Appellant is fully justified in saying that in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case, the Court of Appeal had held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in fact no irreconcilable conflict or any other conflict between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Rule 14(1) of the Rules. That now brings us to the case of </w:t>
      </w:r>
      <w:r>
        <w:rPr>
          <w:rFonts w:ascii="Times New Roman" w:hAnsi="Times New Roman" w:cs="Times New Roman"/>
          <w:i/>
          <w:iCs/>
          <w:color w:val="000000"/>
        </w:rPr>
        <w:t>Murathe v Macharia ante</w:t>
      </w:r>
      <w:r>
        <w:rPr>
          <w:rFonts w:ascii="Times New Roman" w:hAnsi="Times New Roman" w:cs="Times New Roman"/>
          <w:color w:val="000000"/>
        </w:rPr>
        <w:t>, and the members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once again included Kwach and Pall JJA, the new member being Tunoi JA. This time round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Kwach JA said: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result of the election was published in a special issue of the Kenya Gazette dated 6 January 1998 and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purposes of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twenty eight days allowed for presentation and service of petitions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started to run on 7 January 1998. So anyone who wished to present a petition had to do so, and also have it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served on or before 3 February 1998, subject to compliance with Rule 14(1) of the National Assembly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Elections (Election Petition) Rules . . .”.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126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of Appeal still made it clear that not only had a petitioner to comply with section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but also with Rule 14. And Pall JA repeats: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“But to me there seems to be no conflict. As the electorate of the constituency in particular and Kenya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general are entitled to know as soon as possible as to who has been validly elected from that particular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constituency, Parliament in its wisdom has cut down the period of 38 days previously allowed for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presentation and service of petition to 28 days. The two provisions can easily be reconciled. The period of 28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days now is the over-all period within which a petition must not only presented but also served and, not going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beyond this period of 28 days Rule 14(1) says the petition must be served within 10 days of the presentation”.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of Appeal was clearly still of the view that there was no conflict between the Act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Rule.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Tunoi JA, the new member in the decision, was obviously not happy with this view, but he did not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dissent from it. He says in his judgment: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my view it is a fallacious contention to aver that only the Act was amended but the Rules remained intact,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if it were so that legislative intent would have been devoid of concept of purpose and would have reduced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amendment to futility. Further, since election petitions have elaborate procedures of their own relating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filing and serving election petitions the Civil Procedure Rules and or any other statutes should not be applied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computing time . . .”.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Like Owuor JA in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case, Tunoi JA also had his doubts on the issue but the relevant fact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none of them dissented. So once again the Appellant is right in contending that the Court of Appeal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held in this case too that there is in fact no conflict between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and Rule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14(1) of the Rules.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then, did the High Court deal with these cases which were expressly cited to them? We think we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 only turn to their ruling to find out what they said about the cases. We quote them: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 see the core issue to be decided 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Chelaite v Njuki </w:t>
      </w:r>
      <w:r>
        <w:rPr>
          <w:rFonts w:ascii="Times New Roman" w:hAnsi="Times New Roman" w:cs="Times New Roman"/>
          <w:color w:val="000000"/>
          <w:sz w:val="20"/>
          <w:szCs w:val="20"/>
        </w:rPr>
        <w:t>case as being whether service of the petition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good given the fact that it was effected outside the twenty eight days period provided under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 Act but within the ten days provided under Rule 14 of the Election Petition Rules. The other matters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obiter dicta </w:t>
      </w:r>
      <w:r>
        <w:rPr>
          <w:rFonts w:ascii="Times New Roman" w:hAnsi="Times New Roman" w:cs="Times New Roman"/>
          <w:color w:val="000000"/>
          <w:sz w:val="20"/>
          <w:szCs w:val="20"/>
        </w:rPr>
        <w:t>which do no bind this Court”.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apparent from this passage that the Judges of the High Court who decided the matter at the very least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know that they are bound by the decisions of the Court of Appeal. But it is also apparent that they equally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know that if the Court of Appeal purports to decide a matter which does not fall for consideration in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particular case, that is, a matter which it is not necessary to decide in order to arrive at a decision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disposing of the particular case, then they are not bound by such a side decision. That is why they are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saying that the other remarks made by the Court of Appeal in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case were not binding on them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because those remarks constituted what the lawyers designate as </w:t>
      </w:r>
      <w:r>
        <w:rPr>
          <w:rFonts w:ascii="Times New Roman" w:hAnsi="Times New Roman" w:cs="Times New Roman"/>
          <w:i/>
          <w:iCs/>
          <w:color w:val="000000"/>
        </w:rPr>
        <w:t xml:space="preserve">obiter dicta </w:t>
      </w:r>
      <w:r>
        <w:rPr>
          <w:rFonts w:ascii="Times New Roman" w:hAnsi="Times New Roman" w:cs="Times New Roman"/>
          <w:color w:val="000000"/>
        </w:rPr>
        <w:t xml:space="preserve">(plural) or </w:t>
      </w:r>
      <w:r>
        <w:rPr>
          <w:rFonts w:ascii="Times New Roman" w:hAnsi="Times New Roman" w:cs="Times New Roman"/>
          <w:i/>
          <w:iCs/>
          <w:color w:val="000000"/>
        </w:rPr>
        <w:t>obiter dictum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(singular). In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>’s case the High Court was asked to strike out the petition on the ground that it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served outiside the 28 days prescribed by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 In the view of the High Court,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decide that issue it was not necessary to decide the question of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was in conflict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Rule 14. It was agreed in both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 xml:space="preserve">case and the </w:t>
      </w:r>
      <w:r>
        <w:rPr>
          <w:rFonts w:ascii="Times New Roman" w:hAnsi="Times New Roman" w:cs="Times New Roman"/>
          <w:i/>
          <w:iCs/>
          <w:color w:val="000000"/>
        </w:rPr>
        <w:t xml:space="preserve">Murathe </w:t>
      </w:r>
      <w:r>
        <w:rPr>
          <w:rFonts w:ascii="Times New Roman" w:hAnsi="Times New Roman" w:cs="Times New Roman"/>
          <w:color w:val="000000"/>
        </w:rPr>
        <w:t>case that service of the relevant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documents upon the Respondents in those cases had been effected outside the 28-day period prescribed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127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Act. The question of whether the Act was in conflict with the Rules did not, accordingly, arise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was irrelevant to the decision. Aluoch J who decided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case in the High Court did not 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purport to consider the issue of whether or not there was a conflict between the two provisions. Nor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did Mr Ochieng Odhiambo who represented Chelaite throughout the whole case ever purport to contend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there was in fact a conflict. Mr Odhiambo’s contention both in the High Court and in the Court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to the effect that section 44 of the Constitution only gave Parliament the power to make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dealing with the circumstances and manner in which, the time within which, and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conditions upon which a petition may be filed in the High Court and also the powers, practice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of the High Court in relation to petitions. Mr Odhiambo had argued from these provisions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 was not entitled to prescribe the period within which a petition had to be served and that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prescribing the period of 28 days for service in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Parliament was exceeding the authority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conferred on it by the Constitution. That argument was obviously for rejection and was rightly rejected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both courts. But the point we are making is that the question of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in conflict with Rule 14 was never raised in the High Court. It was also not raised in the High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Murathe </w:t>
      </w:r>
      <w:r>
        <w:rPr>
          <w:rFonts w:ascii="Times New Roman" w:hAnsi="Times New Roman" w:cs="Times New Roman"/>
          <w:color w:val="000000"/>
        </w:rPr>
        <w:t>case, but even if it had been raised, it would have really been unnecessary to decide it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since it was irrelevant to the issue of the petitions being incompetent for having been filed outside the 28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days prescribed by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). That is why the three Learned Judges of the High Court who decided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petition thought they were not bound by the holdings in the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Murathe </w:t>
      </w:r>
      <w:r>
        <w:rPr>
          <w:rFonts w:ascii="Times New Roman" w:hAnsi="Times New Roman" w:cs="Times New Roman"/>
          <w:color w:val="000000"/>
        </w:rPr>
        <w:t>cases – they said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holdings were </w:t>
      </w:r>
      <w:r>
        <w:rPr>
          <w:rFonts w:ascii="Times New Roman" w:hAnsi="Times New Roman" w:cs="Times New Roman"/>
          <w:i/>
          <w:iCs/>
          <w:color w:val="000000"/>
        </w:rPr>
        <w:t>obiter</w:t>
      </w:r>
      <w:r>
        <w:rPr>
          <w:rFonts w:ascii="Times New Roman" w:hAnsi="Times New Roman" w:cs="Times New Roman"/>
          <w:color w:val="000000"/>
        </w:rPr>
        <w:t xml:space="preserve">. We were 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(4 ed) Volume 26 paragraph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573 which deals with the question of the </w:t>
      </w:r>
      <w:r>
        <w:rPr>
          <w:rFonts w:ascii="Times New Roman" w:hAnsi="Times New Roman" w:cs="Times New Roman"/>
          <w:i/>
          <w:iCs/>
          <w:color w:val="000000"/>
        </w:rPr>
        <w:t xml:space="preserve">ratio decidendi </w:t>
      </w:r>
      <w:r>
        <w:rPr>
          <w:rFonts w:ascii="Times New Roman" w:hAnsi="Times New Roman" w:cs="Times New Roman"/>
          <w:color w:val="000000"/>
        </w:rPr>
        <w:t>in a decided case. It is therein stated: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enunciation of the reason of principle upon which a question before a court has been decided is alone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binding as a precedent. This underlying principle is called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ratio decidendi</w:t>
      </w:r>
      <w:r>
        <w:rPr>
          <w:rFonts w:ascii="Times New Roman" w:hAnsi="Times New Roman" w:cs="Times New Roman"/>
          <w:color w:val="000000"/>
          <w:sz w:val="20"/>
          <w:szCs w:val="20"/>
        </w:rPr>
        <w:t>, namely the general reasons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given for the decision or the general grounds upon which it is based, detached or abstracted from the specific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peculiarities of the particular case which gives rise to the decision. What constitutes the binding precedent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ratio decidendi </w:t>
      </w:r>
      <w:r>
        <w:rPr>
          <w:rFonts w:ascii="Times New Roman" w:hAnsi="Times New Roman" w:cs="Times New Roman"/>
          <w:color w:val="000000"/>
          <w:sz w:val="20"/>
          <w:szCs w:val="20"/>
        </w:rPr>
        <w:t>and this is almost always to be ascertained by analysis of the material facts of the case,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judicial decision is often reached by a process of reasoning involving a major premise consisting of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pre-existing Rule of law, either statutory or Judge-made, and a minor premise consisting of the material facts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 case under immediate consideration”.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Our understanding of this passage is this. In the case of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>, for example, the major premise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 lays down that a petition must be filed and served within 28 days from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publication of the election result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. Chelaite filed her petition within the 28 days but she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served it outside that period. That was the minor premise existing of facts. Then it was contended that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was incompetent because though presented within the prescribed period of 28 days, it was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incompetent because it was served outside the prescribed period. This contention was upheld by the High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the Court of Appeal and the petition was struck out as incompetent. What would constitute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general principle, the </w:t>
      </w:r>
      <w:r>
        <w:rPr>
          <w:rFonts w:ascii="Times New Roman" w:hAnsi="Times New Roman" w:cs="Times New Roman"/>
          <w:i/>
          <w:iCs/>
          <w:color w:val="000000"/>
        </w:rPr>
        <w:t>ratio decidendi</w:t>
      </w:r>
      <w:r>
        <w:rPr>
          <w:rFonts w:ascii="Times New Roman" w:hAnsi="Times New Roman" w:cs="Times New Roman"/>
          <w:color w:val="000000"/>
        </w:rPr>
        <w:t>, which would be applied in all subsequent cases, is that since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prescribes 28 days as the period within which a petition must be served,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which is served outside that period is incompetent and must be struck out. It is this general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principle, which would be binding on the courts. There will of course be other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128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conclusions within the main decision, such as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is in conflict with Rule 14 and so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but these are what are designated as </w:t>
      </w:r>
      <w:r>
        <w:rPr>
          <w:rFonts w:ascii="Times New Roman" w:hAnsi="Times New Roman" w:cs="Times New Roman"/>
          <w:i/>
          <w:iCs/>
          <w:color w:val="000000"/>
        </w:rPr>
        <w:t xml:space="preserve">obiter dicta </w:t>
      </w:r>
      <w:r>
        <w:rPr>
          <w:rFonts w:ascii="Times New Roman" w:hAnsi="Times New Roman" w:cs="Times New Roman"/>
          <w:color w:val="000000"/>
        </w:rPr>
        <w:t xml:space="preserve">and these are not binding. </w:t>
      </w:r>
      <w:r>
        <w:rPr>
          <w:rFonts w:ascii="Times New Roman" w:hAnsi="Times New Roman" w:cs="Times New Roman"/>
          <w:i/>
          <w:iCs/>
          <w:color w:val="000000"/>
        </w:rPr>
        <w:t xml:space="preserve">Halsbury </w:t>
      </w:r>
      <w:r>
        <w:rPr>
          <w:rFonts w:ascii="Times New Roman" w:hAnsi="Times New Roman" w:cs="Times New Roman"/>
          <w:color w:val="000000"/>
        </w:rPr>
        <w:t>puts it like this 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paragraph 574: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“Dicta: Statements which are not necessary to the decision, which go beyond the occasion and lay down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unnecessary for the purpose in hand are generally termed ‘dicta’. They have no binding authority 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another court, although they may have some persuasive efficacy. Mere passing remarks of a Judge are known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enunciations of the Judges’ opinion on a point not arising for decision, and so not part of the ratio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decidendi, have been termed ‘judicial dicta’ . . .”.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Like the three Judges of the High Court, we also agree that in deciding the question of whether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petitions in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 xml:space="preserve">’s and </w:t>
      </w:r>
      <w:r>
        <w:rPr>
          <w:rFonts w:ascii="Times New Roman" w:hAnsi="Times New Roman" w:cs="Times New Roman"/>
          <w:i/>
          <w:iCs/>
          <w:color w:val="000000"/>
        </w:rPr>
        <w:t>Murathe</w:t>
      </w:r>
      <w:r>
        <w:rPr>
          <w:rFonts w:ascii="Times New Roman" w:hAnsi="Times New Roman" w:cs="Times New Roman"/>
          <w:color w:val="000000"/>
        </w:rPr>
        <w:t>’s cases were incompetent or not, it was not necessary to decide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 of whether or not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was in conflict with Rule 14. We agree that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pronouncements made in the two cases to the effect that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is not in conflict with Rule 14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amounted to no more than “judicial dicta” and were not binding on the High Court.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were also referred, on the same point, to the second case of </w:t>
      </w:r>
      <w:r>
        <w:rPr>
          <w:rFonts w:ascii="Times New Roman" w:hAnsi="Times New Roman" w:cs="Times New Roman"/>
          <w:i/>
          <w:iCs/>
          <w:color w:val="000000"/>
        </w:rPr>
        <w:t xml:space="preserve">Murathe, </w:t>
      </w:r>
      <w:r>
        <w:rPr>
          <w:rFonts w:ascii="Times New Roman" w:hAnsi="Times New Roman" w:cs="Times New Roman"/>
          <w:color w:val="000000"/>
        </w:rPr>
        <w:t xml:space="preserve">namely </w:t>
      </w:r>
      <w:r>
        <w:rPr>
          <w:rFonts w:ascii="Times New Roman" w:hAnsi="Times New Roman" w:cs="Times New Roman"/>
          <w:i/>
          <w:iCs/>
          <w:color w:val="000000"/>
        </w:rPr>
        <w:t>Murathe v Macharia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appeal number 25 of 1999 (unreported) which was presided over by Gicheru, Tunoi and Shah JJA,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that appeal involved a petition which had been filed pursuant to section 20(1)(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Act for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declaration that a seat in the National Assembly had become vacant. Such a petition can be filed at any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 and section 20(1)(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was not affected by the amendments brought in by Act 10 of 1997. Rule 14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still be applicable to that section. The Judges of the High Court were only considering whether,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view of the amendment to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), Rule 14 could still apply to that section. The second </w:t>
      </w:r>
      <w:r>
        <w:rPr>
          <w:rFonts w:ascii="Times New Roman" w:hAnsi="Times New Roman" w:cs="Times New Roman"/>
          <w:i/>
          <w:iCs/>
          <w:color w:val="000000"/>
        </w:rPr>
        <w:t>Murathe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case is, with respect, irrelevant to the issue at hand. Shah JA, in the second </w:t>
      </w:r>
      <w:r>
        <w:rPr>
          <w:rFonts w:ascii="Times New Roman" w:hAnsi="Times New Roman" w:cs="Times New Roman"/>
          <w:i/>
          <w:iCs/>
          <w:color w:val="000000"/>
        </w:rPr>
        <w:t xml:space="preserve">Murathe </w:t>
      </w:r>
      <w:r>
        <w:rPr>
          <w:rFonts w:ascii="Times New Roman" w:hAnsi="Times New Roman" w:cs="Times New Roman"/>
          <w:color w:val="000000"/>
        </w:rPr>
        <w:t>appeal, correctly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distinguished the difference between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20(1)(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insofar as service of the petition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concerned.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ourselves satisfied that the issue of whether or not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was in conflict with Rule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14(1) was as it were, still “</w:t>
      </w:r>
      <w:r>
        <w:rPr>
          <w:rFonts w:ascii="Times New Roman" w:hAnsi="Times New Roman" w:cs="Times New Roman"/>
          <w:i/>
          <w:iCs/>
          <w:color w:val="000000"/>
        </w:rPr>
        <w:t xml:space="preserve">terra rosa’ </w:t>
      </w:r>
      <w:r>
        <w:rPr>
          <w:rFonts w:ascii="Times New Roman" w:hAnsi="Times New Roman" w:cs="Times New Roman"/>
          <w:color w:val="000000"/>
        </w:rPr>
        <w:t>and therefore, still open to the High Court to discuss. We so find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hold and in view of that, grounds one to ten in the memorandum of appeal number 172 of 1999 must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 fail.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considered the issue of whether or not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was in conflict with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14(1) of the Rules and the Learned Judges came to the conclusion that the two provisions were in 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irreconcilable conflict with each other. That conclusion is questioned in both appeals and we must deal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it.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lays it down that a petition must be presented and served within 28 days after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publication of the result of an election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. It is agreed on all sides that presentation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under the section must be within 28 days and any service done outside that period is invalid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petition itself is rendered incurably defective. That is the </w:t>
      </w:r>
      <w:r>
        <w:rPr>
          <w:rFonts w:ascii="Times New Roman" w:hAnsi="Times New Roman" w:cs="Times New Roman"/>
          <w:i/>
          <w:iCs/>
          <w:color w:val="000000"/>
        </w:rPr>
        <w:t xml:space="preserve">ratio decidendi </w:t>
      </w:r>
      <w:r>
        <w:rPr>
          <w:rFonts w:ascii="Times New Roman" w:hAnsi="Times New Roman" w:cs="Times New Roman"/>
          <w:color w:val="000000"/>
        </w:rPr>
        <w:t xml:space="preserve">in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Murathe</w:t>
      </w:r>
      <w:r>
        <w:rPr>
          <w:rFonts w:ascii="Times New Roman" w:hAnsi="Times New Roman" w:cs="Times New Roman"/>
          <w:color w:val="000000"/>
        </w:rPr>
        <w:t>. Rule 14(1), however, says expressly that service of the notice of presentation of a petition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accompanied by a copy of the petition “shall, within ten days of the presentation of petition, be served by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on the Respondent”.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two provisions are not in conflict with each other, then our understanding of the position is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of them must be given its full application. The Rule binds a petitioner to lodge and serve the petition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within ten days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129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date of lodging the petition. If this Rule is to be given its full application then it would mean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 petitioner who lodges a petition on the 20th day, for example, would still be entitled, under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Rule, to ten days from that date which would carry the matter to the 30th day. The Rule can only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reconciled to the Act by deducting some days from the ten days given by it (the Rule) or by making sure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petition is filed within an earlier period as would allow a period of 10 days to run. As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Judges of the High Court correctly point out, if the provisions of the Rule were to be given their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full application, then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Murathe </w:t>
      </w:r>
      <w:r>
        <w:rPr>
          <w:rFonts w:ascii="Times New Roman" w:hAnsi="Times New Roman" w:cs="Times New Roman"/>
          <w:color w:val="000000"/>
        </w:rPr>
        <w:t>ought not to have been struck out because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of the petitions in those cases fully complied with Rule 14(1) of the Rules. That is why the Judges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say that decisions such as those of </w:t>
      </w:r>
      <w:r>
        <w:rPr>
          <w:rFonts w:ascii="Times New Roman" w:hAnsi="Times New Roman" w:cs="Times New Roman"/>
          <w:i/>
          <w:iCs/>
          <w:color w:val="000000"/>
        </w:rPr>
        <w:t xml:space="preserve">Chelaite </w:t>
      </w:r>
      <w:r>
        <w:rPr>
          <w:rFonts w:ascii="Times New Roman" w:hAnsi="Times New Roman" w:cs="Times New Roman"/>
          <w:color w:val="000000"/>
        </w:rPr>
        <w:t>are examples of the conflict between the two provisions.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reconcile the two decisions, one has to modify the application of Rule 14(1) and we do not know that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is entitled to modify the provisions of a written enactment, whether it be a statute or subsidiary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legislation. We once again quote Gicheru JA in </w:t>
      </w:r>
      <w:r>
        <w:rPr>
          <w:rFonts w:ascii="Times New Roman" w:hAnsi="Times New Roman" w:cs="Times New Roman"/>
          <w:i/>
          <w:iCs/>
          <w:color w:val="000000"/>
        </w:rPr>
        <w:t>Maitha v Hemed ante</w:t>
      </w:r>
      <w:r>
        <w:rPr>
          <w:rFonts w:ascii="Times New Roman" w:hAnsi="Times New Roman" w:cs="Times New Roman"/>
          <w:color w:val="000000"/>
        </w:rPr>
        <w:t>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“Rules must be read together with their relevant Act; they cannot repeal or contradict express provisions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Act from which they derive their authority. If the Act is plain the Rule must be interpreted so as to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reconciled with it, or if it cannot be reconciled with it, or if it cannot be reconciled, the Rule must give way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plain terms of the Act. Where an Act passed subsequently to the making of the Rules is inconsistent with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them, the Act must prevail unless it was clearly passed with a different unless it was clearly passed with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different object and then the two will stand together”.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we pointed out earlier, the conflict being considered in the case above was between section 23(3)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Act which provides that an appeal to the Court of Appeal must be lodged within 30 days from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 against which the appeal is brought, and the Rules of the Court of Appeal. Rule 74(1)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Rules provides for the giving of the notice of appeal within 14 days from the date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 while Rule 81(1) provides that the appeal itself is to be lodged within 60 days from the date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lodging the notice of appeal. The appeal by Maitha, as we pointed out earlier, was lodged outside the 30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days prescribed under section 23(3) of the Act but within the 60 days. The majority of the Court –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Gicheru and Omolo JJA – had no difficulty in holding that the appeal was incompetent and there was no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 of attempting to reconcile the provisions of section 23(4) of the Act with those of the Court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Rules. The Court of Appeal Rules were in conflict with the provisions of the statute and they (the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Rules) had to give way to the plain words of section 23(4). We see no difference between the position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Maitha </w:t>
      </w:r>
      <w:r>
        <w:rPr>
          <w:rFonts w:ascii="Times New Roman" w:hAnsi="Times New Roman" w:cs="Times New Roman"/>
          <w:color w:val="000000"/>
        </w:rPr>
        <w:t xml:space="preserve">case 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, and the one now under consideration. We accordingly agree with the High Court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is in direct conflict with Rule 14 and that being so Rule 14 must give way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plain words of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 Accordingly, Rule 14 of the Rules can no longer apply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petitions which concern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 Indeed, under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Act, all that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needs to serve is a copy of the petition but we would have no quarrel with it if a party chose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include an unnecessary document like a notice of presentation, which, for the purposes of section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is really irrelevant.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now discuss the mode in which an election petition is to be served. We agree with Mr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Norwojee </w:t>
      </w:r>
      <w:r>
        <w:rPr>
          <w:rFonts w:ascii="Times New Roman" w:hAnsi="Times New Roman" w:cs="Times New Roman"/>
          <w:color w:val="000000"/>
        </w:rPr>
        <w:t xml:space="preserve">and Mr </w:t>
      </w:r>
      <w:r>
        <w:rPr>
          <w:rFonts w:ascii="Times New Roman" w:hAnsi="Times New Roman" w:cs="Times New Roman"/>
          <w:i/>
          <w:iCs/>
          <w:color w:val="000000"/>
        </w:rPr>
        <w:t xml:space="preserve">Orengo </w:t>
      </w:r>
      <w:r>
        <w:rPr>
          <w:rFonts w:ascii="Times New Roman" w:hAnsi="Times New Roman" w:cs="Times New Roman"/>
          <w:color w:val="000000"/>
        </w:rPr>
        <w:t>that the Act and the Rules both form a complete regime and other legislation 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can only be applicable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130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election petitions if they are made applicable by the Act itself or the Rules. We also agree that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purpose of the regime is to have election petitions dealt with in as quick a manner as is reasonably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possible and the reason for this is not difficult to understand. The voters in a particular constituency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the general voters in Kenya are interested in knowing who their legitimate representative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Parliament is. We are in entire agreement with the principles set out in the ancient case of </w:t>
      </w:r>
      <w:r>
        <w:rPr>
          <w:rFonts w:ascii="Times New Roman" w:hAnsi="Times New Roman" w:cs="Times New Roman"/>
          <w:i/>
          <w:iCs/>
          <w:color w:val="000000"/>
        </w:rPr>
        <w:t>County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Tipperary </w:t>
      </w:r>
      <w:r>
        <w:rPr>
          <w:rFonts w:ascii="Times New Roman" w:hAnsi="Times New Roman" w:cs="Times New Roman"/>
          <w:color w:val="000000"/>
        </w:rPr>
        <w:t>which was decided way back in 1875 and we agree that the principles enunciated in that case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embodied in our Rules. Those principles, however, cannot answer for us the question of how service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 petition is to be effected.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 we have extensively dealt with merely says that a petition shall be presented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served within 28 days. We have held that Rule 14 can no longer apply to petitions file pursuant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Act. Mr </w:t>
      </w:r>
      <w:r>
        <w:rPr>
          <w:rFonts w:ascii="Times New Roman" w:hAnsi="Times New Roman" w:cs="Times New Roman"/>
          <w:i/>
          <w:iCs/>
          <w:color w:val="000000"/>
        </w:rPr>
        <w:t xml:space="preserve">Orengo </w:t>
      </w:r>
      <w:r>
        <w:rPr>
          <w:rFonts w:ascii="Times New Roman" w:hAnsi="Times New Roman" w:cs="Times New Roman"/>
          <w:color w:val="000000"/>
        </w:rPr>
        <w:t>pointed out to us, rightly in our view, that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does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say who is to be served and how service is to be effected. On the issue of who is to be served, we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very much doubt if a party who has taken a great deal of trouble to draw up a petition would be ignorant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to the person or persons against whom he is complaining and the reliefs he seeks from that persons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 whom petitions are brought are the correct parties is, of course, a wholly different issue.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sets out what is to be served – a petition. It (the section) also says when the petition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to be filed – within 28 days from the date of publication of an election result. The period within which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to be served is also the same period. Parliament, however, has not stated in the section how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is to be effected. Under Rule 10 of the Rules: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person elected may at any time after he is elected send or leave at the office of the Registrar a notice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writing signed by him or on his behalf appointing an advocate to act as his advocate in case there should be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petition against him or stating that he intends to act for himself, and in either case giving an address in Kenya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which notices addressed to him may be left or if not such writing is left all notices and proceedings may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given or served by leaving them at the office of the registrar”.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obvious from this Rule that it is not mandatory for a person elected to do any of the things set out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Rule. The expression is that “A person elected may” not that “A person elected shall”. So that we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a situation in which the only provision in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is that a petition is to be presented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served within 28 days from a certain event. Rule 10 does not compel an elected person to leave his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address or that of his advocate with the registrar. If he was compelled to do so, then one would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entitled to assume that service can be effected on him at the address left with the registrar and if no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 is left, they by leaving the documents with the registrar. We think we should state at this stage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if the amendments of 1997 had not intervened the question of the mode of service was well settled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even in the other cases brought in after the amendments, the issue of any conflict between section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and Rule 14 of the Rules had not been raised. We have already dealt with this aspect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matter and we need not repeat ourselves. Where Parliament simply says that a party is to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“served” without specifying how the service is to be effected, what does it (Parliament) mean or intend?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ordinary language, to serve a person with a document is to deliver that document to that person.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example, Order 5 of the Civil Procedure Rules deals with service of summons in ordinary civil case. Rule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deals with mode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131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and is to the effect that: “Service of the summons shall be made by delivering or tendering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duplicate thereof signed by the Judge, or such officer as he appoints in this behalf, and sealed with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seal of the court”.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9 and (2) of Order 5 of the Civil Procedure Rules deal specifically with service on a party or his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agent. The general tenor of service under this Order is that unless there is an appointed agent or unless a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cannot be found service is normally personal. Exceptions only come when personal service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practicable.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would add this with regard to service of petitions upon an elected person. Service by way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publication in the Kenya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, in view of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Act, cannot be proper service.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publication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, as in this case, directs a respondent to obtain a copy of the petition from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office of the registrar/deputy registrar of the High Court of Kenya. In view of the fact that section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requires presentation and service of the petition asking a respondent to collect a copy thereof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High Court registry cannot be proper service. This is yet another aspect which shows that Rule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14(1) is in conflict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Nowrojee </w:t>
      </w:r>
      <w:r>
        <w:rPr>
          <w:rFonts w:ascii="Times New Roman" w:hAnsi="Times New Roman" w:cs="Times New Roman"/>
          <w:color w:val="000000"/>
        </w:rPr>
        <w:t>also cited and made available to us the Parliamentary Election Petition Rules of 1868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England. Rule 14 of those Rules was to the effect that: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the Respondent has named an agent or given an address, the service of an election petition may be by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delivery of it to the agent, or by posting it in a registered letter to the address given at such time that, in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ordinary course of post, it would be delivered within the prescribed time”.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Rule is similar to our Rule 10, so that if an address of the advocate or the Respondent himself is left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registrar then service may be effected on the advocate or at the address given. But of more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is the commentary found immediately under the English Rule 14 which we have set out: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other cases, service must be personal on the Respondent, unless a Judge, on an application made to him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 later than five days after the petition is presented on affidavit showing what has been done, shall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affidavit showing what has been done, shall be satisfied all reasonable effort has been made to effect personal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service and cause the matter to come to the knowledge of the Respondent, including when practicable, service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upon an agent for election expenses, in which case, the Judge may order that what has been done shall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considered sufficient service, subject to such conditions as he may think reasonable”.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agreed on all sides that election petitions are not ordinary civil suits; as Mr </w:t>
      </w:r>
      <w:r>
        <w:rPr>
          <w:rFonts w:ascii="Times New Roman" w:hAnsi="Times New Roman" w:cs="Times New Roman"/>
          <w:i/>
          <w:iCs/>
          <w:color w:val="000000"/>
        </w:rPr>
        <w:t xml:space="preserve">Nowrojee </w:t>
      </w:r>
      <w:r>
        <w:rPr>
          <w:rFonts w:ascii="Times New Roman" w:hAnsi="Times New Roman" w:cs="Times New Roman"/>
          <w:color w:val="000000"/>
        </w:rPr>
        <w:t>submitted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 us, an election petition is a dispute </w:t>
      </w:r>
      <w:r>
        <w:rPr>
          <w:rFonts w:ascii="Times New Roman" w:hAnsi="Times New Roman" w:cs="Times New Roman"/>
          <w:i/>
          <w:iCs/>
          <w:color w:val="000000"/>
        </w:rPr>
        <w:t>in rem</w:t>
      </w:r>
      <w:r>
        <w:rPr>
          <w:rFonts w:ascii="Times New Roman" w:hAnsi="Times New Roman" w:cs="Times New Roman"/>
          <w:color w:val="000000"/>
        </w:rPr>
        <w:t>, though of course it must, of necessity, be fought out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or amongst certain named parties. They are disputes of great importance to the public but some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specified person or persons still have to answer to certain alleged defaults. How is it then, that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ordinary civil litigation the parties concerned have to be served in person unless it is impossible to find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them when other modes of service may be adopted?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arose that if only personal service would suffice, the Respondents would seek to evade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 by, for example, travelling out of the country or just staying out of sight until after the expiry of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prescribed 28 days. That fear may be genuine but it must also be remembered that election petitions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132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generally involve Kenyans who very much prize their title of “Honourable” and we do not contemplate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those involved in petitions will wilfully take cover in order to avoid the process of the law.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What we are saying, however, is that election petitions are of such importance to the parties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concerned and to the general public that unless Parliament has itself specifically dispensed with the need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personal service, then the courts must insist on such service. We cannot read from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Parliament intended to dispense with personal service. Even under Rule 14(2) of the Rules personal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services was not dispensed with. The other modes of service were only alternative modes of service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personal service. That is why in the various other cases quoted to us personal service was always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described as the best form of service.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does not prescribed any mode of service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in those circumstances, the courts must go for the best form of service which is personal service.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this Court, the Appellant did not offer any reason why he did not go for personal service though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High Court, it had been contended that the First Respondent in his capacity as the president,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surrounded by a massive ring of security which it is not possible to penetrate. But as the Judges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correctly pointed out, no effort to serve First Respondent was made and repelled. In any case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reason could not be offered in respect of the Second and Third Respondents. The Second and Third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are themselves not elected persons in terms of Rule 10 of the Rules though they are truly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Respondents within the Rules and the long-standing decision of the court in </w:t>
      </w:r>
      <w:r>
        <w:rPr>
          <w:rFonts w:ascii="Times New Roman" w:hAnsi="Times New Roman" w:cs="Times New Roman"/>
          <w:i/>
          <w:iCs/>
          <w:color w:val="000000"/>
        </w:rPr>
        <w:t>Mudavadi v Kibisu and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>[1970] EA 85. But though the Second and Third Respondents are Respondents they cannot take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 of Rule 10 of the Rules because that Rule is only available to elected persons, so that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and Third Respondents could not have provided the registrar with their or their advocates’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addresses in Kenya. That being so, the Appellant had to serve them in accordance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Act and as we have said, that had to be personal service.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event, we are satisfied the three Learned Judges of the High Court were fully justified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holding that as the law now stands only personal service will suffice in respect of election petitions filed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 It may be unjust, but so is section 6 of the Land Control Act Cap 302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once made Apaloo JA (as he then was) lament in the following words: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 ‘A’ sold agricultural land to ‘B’. The former was unco-operative in getting ‘B’ to obtain the consent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land control board. ‘A’ however obtained full payment of he purchase price and duly put ‘B’ into possession.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faith of this sale, ‘B’ spent a large sum of money in developing and improving the land. Ten years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afterwards, ‘A’ motivated by the prospect of obtaining higher price for the land sells the self-same land to ‘C’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then with ‘A’ ’s active co-operation, hurriedly obtained consent (this in one day) and thereafter registered his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title. ‘C’ then proceeds to ask ‘B’ ’s eviction from the land. Without the aid of section 6(2) of the Act, ‘C’ will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held entitled to evict ‘B’. Indeed ‘A’would be entitled to say to ‘B’: ‘Yes I accept that I sold the land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you, obtained full payment of the consideration money and put you in possession for 10 years and you may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well have developed the land. But I say that an Act of Parliament entitles me to resell to “C” and you must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content with the return of the purchase price you paid me ten years ago’. To think such a thing could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possible offends against one’s idea of propriety and fairness”.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 </w:t>
      </w:r>
      <w:r>
        <w:rPr>
          <w:rFonts w:ascii="Times New Roman" w:hAnsi="Times New Roman" w:cs="Times New Roman"/>
          <w:i/>
          <w:iCs/>
          <w:color w:val="000000"/>
        </w:rPr>
        <w:t xml:space="preserve">Wamukota v Donati </w:t>
      </w:r>
      <w:r>
        <w:rPr>
          <w:rFonts w:ascii="Times New Roman" w:hAnsi="Times New Roman" w:cs="Times New Roman"/>
          <w:color w:val="000000"/>
        </w:rPr>
        <w:t>[1986] LLR 2306 (CAK) in Court of Appeal judgments civil appeals 1986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Volume II.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 Justice Apaloo was appalled that the kind of thing he set out could happen, but it did happen in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in which he spoke and it still continues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133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happen to this day. As Kwach JA says in </w:t>
      </w:r>
      <w:r>
        <w:rPr>
          <w:rFonts w:ascii="Times New Roman" w:hAnsi="Times New Roman" w:cs="Times New Roman"/>
          <w:i/>
          <w:iCs/>
          <w:color w:val="000000"/>
        </w:rPr>
        <w:t>Chelaite</w:t>
      </w:r>
      <w:r>
        <w:rPr>
          <w:rFonts w:ascii="Times New Roman" w:hAnsi="Times New Roman" w:cs="Times New Roman"/>
          <w:color w:val="000000"/>
        </w:rPr>
        <w:t>, Parliament in its wisdom, and it is forever wise, can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often does decree certain things which may not seem wise to persons unschooled in its way of doing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things. But the courts must accept the wisdom of Parliament, unless, of course, they are contrary to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the Constitution. It has decreed in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that service of election petitions must be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personal and whatever problems may arise from that, the courts must enforce that law until Parliament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should itself be minded to change it.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shall conclude this judgment by briefly touching on Mr </w:t>
      </w:r>
      <w:r>
        <w:rPr>
          <w:rFonts w:ascii="Times New Roman" w:hAnsi="Times New Roman" w:cs="Times New Roman"/>
          <w:i/>
          <w:iCs/>
          <w:color w:val="000000"/>
        </w:rPr>
        <w:t>Nowrojee’</w:t>
      </w:r>
      <w:r>
        <w:rPr>
          <w:rFonts w:ascii="Times New Roman" w:hAnsi="Times New Roman" w:cs="Times New Roman"/>
          <w:color w:val="000000"/>
        </w:rPr>
        <w:t>s complaint that in applying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to strike out the Appellant’s petition, the Second and Third Respondents were abusing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 of the Court. The Second and Third Respondents, it was contended, had, in two previous cases,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at Nakuru and another one at Mombasa, taken a position diametrically opposed to the position they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took in this petition. The Second and Third Respondents are by law required to be impartial and they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ought not to be perceived as taking a particular position in support of a particular candidate. We agree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with Mr </w:t>
      </w:r>
      <w:r>
        <w:rPr>
          <w:rFonts w:ascii="Times New Roman" w:hAnsi="Times New Roman" w:cs="Times New Roman"/>
          <w:i/>
          <w:iCs/>
          <w:color w:val="000000"/>
        </w:rPr>
        <w:t xml:space="preserve">Nowrojee </w:t>
      </w:r>
      <w:r>
        <w:rPr>
          <w:rFonts w:ascii="Times New Roman" w:hAnsi="Times New Roman" w:cs="Times New Roman"/>
          <w:color w:val="000000"/>
        </w:rPr>
        <w:t>that Second and Third Respondents must always remain impartial. We said at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beginning of this judgment that the Second and Third Respondents are crucial to the democratic process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 is evolving. The High Court did not itself say anything about this aspect of the Second and Third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abusing the process of the court. For out part, we would say this. The Second and Third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must remain impartial in matters of elections. The law binds them to be impartial. But when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are sued and allegations of impropriety or wrong-doing are made against them, then they must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somehow challenge those allegations. If they are sued, then they become parties to the suit in which they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sued, and as parties surely they must be partisan in the defence of their interest. They are, in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position of parties, entitled to make whatever submissions to a presiding Judge or Judges. That is how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adversarial system of justice operates. We would, however, state that once a party has, in a previous case,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taken a particular stand on an issue of law, then good practice would demand that if the position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previously taken is being changed, the party ought to disclose that a contrary view had been previously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taken and argued, but that there had been a change and the reason or reasons for the change stated. Mr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 xml:space="preserve">, in the High Court merely termed the submissions of Mr </w:t>
      </w:r>
      <w:r>
        <w:rPr>
          <w:rFonts w:ascii="Times New Roman" w:hAnsi="Times New Roman" w:cs="Times New Roman"/>
          <w:i/>
          <w:iCs/>
          <w:color w:val="000000"/>
        </w:rPr>
        <w:t xml:space="preserve">Nowrojee </w:t>
      </w:r>
      <w:r>
        <w:rPr>
          <w:rFonts w:ascii="Times New Roman" w:hAnsi="Times New Roman" w:cs="Times New Roman"/>
          <w:color w:val="000000"/>
        </w:rPr>
        <w:t>as being harsh while not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offering any reason why the change was necessary. However, the High Court did not find it necessary to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decide the issue, and Mr </w:t>
      </w:r>
      <w:r>
        <w:rPr>
          <w:rFonts w:ascii="Times New Roman" w:hAnsi="Times New Roman" w:cs="Times New Roman"/>
          <w:i/>
          <w:iCs/>
          <w:color w:val="000000"/>
        </w:rPr>
        <w:t xml:space="preserve">Kapila </w:t>
      </w:r>
      <w:r>
        <w:rPr>
          <w:rFonts w:ascii="Times New Roman" w:hAnsi="Times New Roman" w:cs="Times New Roman"/>
          <w:color w:val="000000"/>
        </w:rPr>
        <w:t>cannot be blamed for that. Had the High Court been unaware of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previous position taken by the Second and Third Respondents and it was only discovered later, then in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circumstances the Second and Third Respondents could be legitimately accused of misleading the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 But as it is, we do not think it would be right to hold that the Second and Third Respondents’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failure to put forward a defence to their conduct during the hearing of the application amounted to an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abuse of the judicial process.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said enough, we think, to show that all the grounds listed in the two appeals do not convince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 that we should allow the appeals. Although there were in total in the two appeals, 173 grounds argued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us in groups, we are satisfied that in our judgment we have dealt with all of them. To have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 each and every ground separately would have made this judgment much longer than it is. We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think each of the grounds has found its place in the judgment.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134 of [2000] 1 EA 115 (CAK)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we leave the matter, we must commend the advocates for the very able manner in which they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advanced arguments for their respective clients before us. Their learned and very detailed submissions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made our task in writing the judgment that much easier. We are greatly indebted to them.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event, our final order in civil appeal number 172 of 1999 is and shall be that the appeal is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dismissed with costs certified for two counsel.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civil appeal number 173 of 1999, while we dismiss the same, we are not inclined to award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any costs to the Second and Third Respondents. They have taken inconsistent stands on the matters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falling for consideration and neither here nor in the superior court did they offer any valid reason for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changing their position. The order which accordingly commends itself to us is that civil appeal number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173 of 1999 be dismissed but with no order as to the costs thereof. We would further order that the order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costs awarded to the Second and Third Respondents in the High Court is also set aside and the result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that is that there will be no costs to the Second and Third Respondents both here and in the High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shall be our orders in the two appeals.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E Nowrojee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P Nowrojee Adv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A B Orengo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J Orengo Adv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 T Inamdar </w:t>
      </w:r>
      <w:r>
        <w:rPr>
          <w:rFonts w:ascii="Times New Roman" w:hAnsi="Times New Roman" w:cs="Times New Roman"/>
          <w:color w:val="000000"/>
        </w:rPr>
        <w:t>instructed b</w:t>
      </w:r>
      <w:r>
        <w:rPr>
          <w:rFonts w:ascii="Times New Roman" w:hAnsi="Times New Roman" w:cs="Times New Roman"/>
          <w:i/>
          <w:iCs/>
          <w:color w:val="000000"/>
        </w:rPr>
        <w:t>y Inamdar and Inamdar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 Kilonzo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Kilonzo and Co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 Kapila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D V Kapila and Co</w:t>
      </w:r>
    </w:p>
    <w:p w:rsidR="00F2109A" w:rsidRDefault="00F2109A" w:rsidP="00F2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Third Respondent:</w:t>
      </w:r>
    </w:p>
    <w:p w:rsidR="003F18BF" w:rsidRDefault="00F2109A" w:rsidP="00F2109A">
      <w:r>
        <w:rPr>
          <w:rFonts w:ascii="Times New Roman" w:hAnsi="Times New Roman" w:cs="Times New Roman"/>
          <w:i/>
          <w:iCs/>
          <w:color w:val="000000"/>
        </w:rPr>
        <w:t xml:space="preserve">H P Makhecha </w:t>
      </w:r>
      <w:r>
        <w:rPr>
          <w:rFonts w:ascii="Times New Roman" w:hAnsi="Times New Roman" w:cs="Times New Roman"/>
          <w:color w:val="000000"/>
        </w:rPr>
        <w:t xml:space="preserve">insrtucted by </w:t>
      </w:r>
      <w:r>
        <w:rPr>
          <w:rFonts w:ascii="Times New Roman" w:hAnsi="Times New Roman" w:cs="Times New Roman"/>
          <w:i/>
          <w:iCs/>
          <w:color w:val="000000"/>
        </w:rPr>
        <w:t>Makhecha and C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9A"/>
    <w:rsid w:val="003F18BF"/>
    <w:rsid w:val="00F2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08D72-083E-41E2-9422-7426DB45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10162</Words>
  <Characters>57925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2018-07-05T11:45:00Z</dcterms:created>
  <dcterms:modified xsi:type="dcterms:W3CDTF">2018-07-05T11:45:00Z</dcterms:modified>
</cp:coreProperties>
</file>