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Kibalama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Alfasan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Belgie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CVBA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[2004] 2 EA 146 (CAU)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June 2004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19/02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CJ,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Adriko</w:t>
      </w:r>
      <w:proofErr w:type="spellEnd"/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Admission – Judgment upon admission – Meaning of admission – Order 11, rule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6, Civil Procedure Rule – Damages – Contract – Assessment of damages – Whether damages should be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assessed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by court even when the plaintiff has lost the suit.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Pleadings – Contract – Pleading contents of a contract in pleadings – Contract –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Trade custom – Meaning of trade custom – When trade custom can be pleaded by a party to the contract.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appellant, in 1994 was introduced to the export manager of the respondent for the purposes of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carrying</w:t>
      </w:r>
      <w:proofErr w:type="gramEnd"/>
      <w:r>
        <w:rPr>
          <w:rFonts w:ascii="Times New Roman" w:hAnsi="Times New Roman" w:cs="Times New Roman"/>
          <w:color w:val="000000"/>
        </w:rPr>
        <w:t xml:space="preserve"> on the business of importing drugs in Uganda. It was alleged that a verbal agreement was made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between</w:t>
      </w:r>
      <w:proofErr w:type="gramEnd"/>
      <w:r>
        <w:rPr>
          <w:rFonts w:ascii="Times New Roman" w:hAnsi="Times New Roman" w:cs="Times New Roman"/>
          <w:color w:val="000000"/>
        </w:rPr>
        <w:t xml:space="preserve"> the parties pursuant to which the appellant verbally placed orders together with payments in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cash</w:t>
      </w:r>
      <w:proofErr w:type="gramEnd"/>
      <w:r>
        <w:rPr>
          <w:rFonts w:ascii="Times New Roman" w:hAnsi="Times New Roman" w:cs="Times New Roman"/>
          <w:color w:val="000000"/>
        </w:rPr>
        <w:t xml:space="preserve"> which would be transferred to the respondent’s bank account in Europe. The respondent would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dispatch</w:t>
      </w:r>
      <w:proofErr w:type="gramEnd"/>
      <w:r>
        <w:rPr>
          <w:rFonts w:ascii="Times New Roman" w:hAnsi="Times New Roman" w:cs="Times New Roman"/>
          <w:color w:val="000000"/>
        </w:rPr>
        <w:t xml:space="preserve"> the drugs to Uganda. Appellant claims to have had a telephone discussion with the respondent’s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export</w:t>
      </w:r>
      <w:proofErr w:type="gramEnd"/>
      <w:r>
        <w:rPr>
          <w:rFonts w:ascii="Times New Roman" w:hAnsi="Times New Roman" w:cs="Times New Roman"/>
          <w:color w:val="000000"/>
        </w:rPr>
        <w:t xml:space="preserve"> manager during which he placed an order for drugs worth US$ 15 000. The respondent did not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send</w:t>
      </w:r>
      <w:proofErr w:type="gramEnd"/>
      <w:r>
        <w:rPr>
          <w:rFonts w:ascii="Times New Roman" w:hAnsi="Times New Roman" w:cs="Times New Roman"/>
          <w:color w:val="000000"/>
        </w:rPr>
        <w:t xml:space="preserve"> the drugs.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 civil suit, the appellant claimed a sum of US$ 15 000 or its equivalent in Ugandan Shillings;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general</w:t>
      </w:r>
      <w:proofErr w:type="gramEnd"/>
      <w:r>
        <w:rPr>
          <w:rFonts w:ascii="Times New Roman" w:hAnsi="Times New Roman" w:cs="Times New Roman"/>
          <w:color w:val="000000"/>
        </w:rPr>
        <w:t xml:space="preserve"> damages for breach of contract, interest on the sum at the bank rate from the date of transfer until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payment</w:t>
      </w:r>
      <w:proofErr w:type="gramEnd"/>
      <w:r>
        <w:rPr>
          <w:rFonts w:ascii="Times New Roman" w:hAnsi="Times New Roman" w:cs="Times New Roman"/>
          <w:color w:val="000000"/>
        </w:rPr>
        <w:t xml:space="preserve"> in full and costs of suit.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147 of [2004] 2 EA 146 (CAU)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trial, the appellant relied on pleadings which, among other omissions, did not include any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documents</w:t>
      </w:r>
      <w:proofErr w:type="gramEnd"/>
      <w:r>
        <w:rPr>
          <w:rFonts w:ascii="Times New Roman" w:hAnsi="Times New Roman" w:cs="Times New Roman"/>
          <w:color w:val="000000"/>
        </w:rPr>
        <w:t xml:space="preserve"> showing the type of drugs ordered, whether any </w:t>
      </w:r>
      <w:proofErr w:type="spellStart"/>
      <w:r>
        <w:rPr>
          <w:rFonts w:ascii="Times New Roman" w:hAnsi="Times New Roman" w:cs="Times New Roman"/>
          <w:color w:val="000000"/>
        </w:rPr>
        <w:t>dispatchments</w:t>
      </w:r>
      <w:proofErr w:type="spellEnd"/>
      <w:r>
        <w:rPr>
          <w:rFonts w:ascii="Times New Roman" w:hAnsi="Times New Roman" w:cs="Times New Roman"/>
          <w:color w:val="000000"/>
        </w:rPr>
        <w:t xml:space="preserve"> of drugs were made and the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unit</w:t>
      </w:r>
      <w:proofErr w:type="gramEnd"/>
      <w:r>
        <w:rPr>
          <w:rFonts w:ascii="Times New Roman" w:hAnsi="Times New Roman" w:cs="Times New Roman"/>
          <w:color w:val="000000"/>
        </w:rPr>
        <w:t xml:space="preserve"> costs of the drugs, if any. He then tried to plead a trade custom to the effect that transactions of the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kind</w:t>
      </w:r>
      <w:proofErr w:type="gramEnd"/>
      <w:r>
        <w:rPr>
          <w:rFonts w:ascii="Times New Roman" w:hAnsi="Times New Roman" w:cs="Times New Roman"/>
          <w:color w:val="000000"/>
        </w:rPr>
        <w:t xml:space="preserve"> referred to in this suit would be made in a verbal form and that this was common in the drugs trade.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Judge dismissed the suit.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appealed.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In suits based on contract, the plaint must allege the contract and then its breach. The plaint must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also</w:t>
      </w:r>
      <w:proofErr w:type="gramEnd"/>
      <w:r>
        <w:rPr>
          <w:rFonts w:ascii="Times New Roman" w:hAnsi="Times New Roman" w:cs="Times New Roman"/>
          <w:color w:val="000000"/>
        </w:rPr>
        <w:t xml:space="preserve"> state the terms of the contract, the time when the cause of action arose, whether contract was express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or</w:t>
      </w:r>
      <w:proofErr w:type="gramEnd"/>
      <w:r>
        <w:rPr>
          <w:rFonts w:ascii="Times New Roman" w:hAnsi="Times New Roman" w:cs="Times New Roman"/>
          <w:color w:val="000000"/>
        </w:rPr>
        <w:t xml:space="preserve"> implied, whether it was oral or written; the dates and names of the parties thereto.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 in this case did not state the type of drugs that were supposed to be delivered, the quantities of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drugs nor when the breaches occurred. Thus it did not satisfy the provisions of Order 7, rule 1(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Civil Procedure Rules which require a plaint to state facts constituting a cause of action and when it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arose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trade usage is a particular course of dealing between parties who are in a business relationship. The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usage</w:t>
      </w:r>
      <w:proofErr w:type="gramEnd"/>
      <w:r>
        <w:rPr>
          <w:rFonts w:ascii="Times New Roman" w:hAnsi="Times New Roman" w:cs="Times New Roman"/>
          <w:color w:val="000000"/>
        </w:rPr>
        <w:t xml:space="preserve"> must be known to all persons who normally enter into that relationship and must thus be presumed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have intended to adopt that course of dealing and to have incorporated it into their contractual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relationship</w:t>
      </w:r>
      <w:proofErr w:type="gramEnd"/>
      <w:r>
        <w:rPr>
          <w:rFonts w:ascii="Times New Roman" w:hAnsi="Times New Roman" w:cs="Times New Roman"/>
          <w:color w:val="000000"/>
        </w:rPr>
        <w:t xml:space="preserve"> unless by agreement it is expressly or impliedly excluded. For a course of dealing to become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usage, it must be so well known by the parties affected by it, it must be certain, it must be reasonable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it must not be contrary to legislation or a fundamental principle of law. A trade usage may be proved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by</w:t>
      </w:r>
      <w:proofErr w:type="gramEnd"/>
      <w:r>
        <w:rPr>
          <w:rFonts w:ascii="Times New Roman" w:hAnsi="Times New Roman" w:cs="Times New Roman"/>
          <w:color w:val="000000"/>
        </w:rPr>
        <w:t xml:space="preserve"> a calling witnesses with clear, convincing and consistent evidence that the usage exists as a fact, is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well</w:t>
      </w:r>
      <w:proofErr w:type="gramEnd"/>
      <w:r>
        <w:rPr>
          <w:rFonts w:ascii="Times New Roman" w:hAnsi="Times New Roman" w:cs="Times New Roman"/>
          <w:color w:val="000000"/>
        </w:rPr>
        <w:t xml:space="preserve"> known and has been practiced by those affected by it. (Newbold P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Harilal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Standard Bank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[1967] EA 512 quoted with approval,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Bhogal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International Computers (EA) Ltd </w:t>
      </w:r>
      <w:r>
        <w:rPr>
          <w:rFonts w:ascii="Times New Roman" w:hAnsi="Times New Roman" w:cs="Times New Roman"/>
          <w:color w:val="000000"/>
        </w:rPr>
        <w:t>[1972] EA 55 cited).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order to rely on trade custom or usage, the appellant had to show a consistent course of dealing in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which</w:t>
      </w:r>
      <w:proofErr w:type="gramEnd"/>
      <w:r>
        <w:rPr>
          <w:rFonts w:ascii="Times New Roman" w:hAnsi="Times New Roman" w:cs="Times New Roman"/>
          <w:color w:val="000000"/>
        </w:rPr>
        <w:t xml:space="preserve"> the terms of the verbal agreement between himself and the respondent had been incorporated in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past. He also had to show that he and the respondent knew of those terms in question. Under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section</w:t>
      </w:r>
      <w:proofErr w:type="gramEnd"/>
      <w:r>
        <w:rPr>
          <w:rFonts w:ascii="Times New Roman" w:hAnsi="Times New Roman" w:cs="Times New Roman"/>
          <w:color w:val="000000"/>
        </w:rPr>
        <w:t xml:space="preserve"> 47of the Evidence Act (Chapter 6), the Court may need the opinion of persons having the means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knowledge on usage or custom if it has to form an opinion about it.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did not adduce evidence from any source other than himself on which the Court could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have</w:t>
      </w:r>
      <w:proofErr w:type="gramEnd"/>
      <w:r>
        <w:rPr>
          <w:rFonts w:ascii="Times New Roman" w:hAnsi="Times New Roman" w:cs="Times New Roman"/>
          <w:color w:val="000000"/>
        </w:rPr>
        <w:t xml:space="preserve"> made an inference of the trade usage or custom that he was claiming. He thereby failed to prove the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existence</w:t>
      </w:r>
      <w:proofErr w:type="gramEnd"/>
      <w:r>
        <w:rPr>
          <w:rFonts w:ascii="Times New Roman" w:hAnsi="Times New Roman" w:cs="Times New Roman"/>
          <w:color w:val="000000"/>
        </w:rPr>
        <w:t xml:space="preserve"> of the contract for the supply of drugs.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Order 11, rule 6, judgment can be entered at any stage of the suit where an admission of facts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had</w:t>
      </w:r>
      <w:proofErr w:type="gramEnd"/>
      <w:r>
        <w:rPr>
          <w:rFonts w:ascii="Times New Roman" w:hAnsi="Times New Roman" w:cs="Times New Roman"/>
          <w:color w:val="000000"/>
        </w:rPr>
        <w:t xml:space="preserve"> been made. Such an admission, however, must be unequivocal in order to entitle the party to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judgment</w:t>
      </w:r>
      <w:proofErr w:type="gramEnd"/>
      <w:r>
        <w:rPr>
          <w:rFonts w:ascii="Times New Roman" w:hAnsi="Times New Roman" w:cs="Times New Roman"/>
          <w:color w:val="000000"/>
        </w:rPr>
        <w:t xml:space="preserve"> without waiting for the determination of any other question between the parties.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the respondent company admitted receiving US$ 15 000 from the appellant, this did not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amount</w:t>
      </w:r>
      <w:proofErr w:type="gramEnd"/>
      <w:r>
        <w:rPr>
          <w:rFonts w:ascii="Times New Roman" w:hAnsi="Times New Roman" w:cs="Times New Roman"/>
          <w:color w:val="000000"/>
        </w:rPr>
        <w:t xml:space="preserve"> to an admission under Order 11, rule 6 Civil Procedure Rules since it explained that his money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was</w:t>
      </w:r>
      <w:proofErr w:type="gramEnd"/>
      <w:r>
        <w:rPr>
          <w:rFonts w:ascii="Times New Roman" w:hAnsi="Times New Roman" w:cs="Times New Roman"/>
          <w:color w:val="000000"/>
        </w:rPr>
        <w:t xml:space="preserve"> a partial payment of a debt the appellant owed it.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148 of [2004] 2 EA 146 (CAU)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Damages are awarded for breach of contract after proof that the terms of the contract were breached.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even when the plaintiff fails to prove breach of contract, it is a prudent judicial practice for the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trial</w:t>
      </w:r>
      <w:proofErr w:type="gramEnd"/>
      <w:r>
        <w:rPr>
          <w:rFonts w:ascii="Times New Roman" w:hAnsi="Times New Roman" w:cs="Times New Roman"/>
          <w:color w:val="000000"/>
        </w:rPr>
        <w:t xml:space="preserve"> Judge to assess the damages the successful party would otherwise have been entitled to, had he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succeeded</w:t>
      </w:r>
      <w:proofErr w:type="gramEnd"/>
      <w:r>
        <w:rPr>
          <w:rFonts w:ascii="Times New Roman" w:hAnsi="Times New Roman" w:cs="Times New Roman"/>
          <w:color w:val="000000"/>
        </w:rPr>
        <w:t xml:space="preserve"> in the suit. This is vital in saving time when, the appellate Court orders that the case be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remitted</w:t>
      </w:r>
      <w:proofErr w:type="gramEnd"/>
      <w:r>
        <w:rPr>
          <w:rFonts w:ascii="Times New Roman" w:hAnsi="Times New Roman" w:cs="Times New Roman"/>
          <w:color w:val="000000"/>
        </w:rPr>
        <w:t xml:space="preserve"> to the trial court for the assessment of damages. (</w:t>
      </w:r>
      <w:r>
        <w:rPr>
          <w:rFonts w:ascii="Times New Roman" w:hAnsi="Times New Roman" w:cs="Times New Roman"/>
          <w:i/>
          <w:iCs/>
          <w:color w:val="000000"/>
        </w:rPr>
        <w:t xml:space="preserve">Sell v Associated Motor Boat Co </w:t>
      </w:r>
      <w:r>
        <w:rPr>
          <w:rFonts w:ascii="Times New Roman" w:hAnsi="Times New Roman" w:cs="Times New Roman"/>
          <w:color w:val="000000"/>
        </w:rPr>
        <w:t>[1968] EA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123, </w:t>
      </w:r>
      <w:r>
        <w:rPr>
          <w:rFonts w:ascii="Times New Roman" w:hAnsi="Times New Roman" w:cs="Times New Roman"/>
          <w:i/>
          <w:iCs/>
          <w:color w:val="000000"/>
        </w:rPr>
        <w:t xml:space="preserve">Mute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Elikana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[1975] EA 201, </w:t>
      </w:r>
      <w:r>
        <w:rPr>
          <w:rFonts w:ascii="Times New Roman" w:hAnsi="Times New Roman" w:cs="Times New Roman"/>
          <w:i/>
          <w:iCs/>
          <w:color w:val="000000"/>
        </w:rPr>
        <w:t xml:space="preserve">AKPM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Lutaaya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civil appeal number 10 of 2002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(UR) followed).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Judge should have assessed the damages although the plaintiff’s suit had been dismissed.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Bhogal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International Computers </w:t>
      </w:r>
      <w:r>
        <w:rPr>
          <w:rFonts w:ascii="Times New Roman" w:hAnsi="Times New Roman" w:cs="Times New Roman"/>
          <w:color w:val="000000"/>
        </w:rPr>
        <w:t xml:space="preserve">EA Ltd [1972] EA 55 -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Harilal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Standard Bank </w:t>
      </w:r>
      <w:r>
        <w:rPr>
          <w:rFonts w:ascii="Times New Roman" w:hAnsi="Times New Roman" w:cs="Times New Roman"/>
          <w:color w:val="000000"/>
        </w:rPr>
        <w:t xml:space="preserve">[1967] EA 512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Lutaya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 xml:space="preserve">civil appeal number 10 of 2002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A47CC3" w:rsidRDefault="00A47CC3" w:rsidP="00A47C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Mute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Elikana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[1975] EA 201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E97396" w:rsidRDefault="00A47CC3" w:rsidP="00A47CC3">
      <w:r>
        <w:rPr>
          <w:rFonts w:ascii="Times New Roman" w:hAnsi="Times New Roman" w:cs="Times New Roman"/>
          <w:i/>
          <w:iCs/>
          <w:color w:val="000000"/>
        </w:rPr>
        <w:t xml:space="preserve">National Enterprises Corporation and others v Nile Bank Ltd </w:t>
      </w:r>
      <w:r>
        <w:rPr>
          <w:rFonts w:ascii="Times New Roman" w:hAnsi="Times New Roman" w:cs="Times New Roman"/>
          <w:color w:val="000000"/>
        </w:rPr>
        <w:t xml:space="preserve">civil appeal number 17 of 1994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  <w:bookmarkStart w:id="0" w:name="_GoBack"/>
      <w:bookmarkEnd w:id="0"/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C3"/>
    <w:rsid w:val="00A47CC3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5C8B4-4020-4A1D-85D2-8531426A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2018-07-03T14:13:00Z</dcterms:created>
  <dcterms:modified xsi:type="dcterms:W3CDTF">2018-07-03T14:13:00Z</dcterms:modified>
</cp:coreProperties>
</file>