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Kiganga and Associates Gold Mining Co Ltd v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Universal Gold NL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134 (HCT)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Dar-es-Salaam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August 2000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24/00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Kalegeya J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 K Masha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Suit filed by corporation – Pleadings – Verification clause – Verification by principal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officer – Whether principal officer required to specify his exact title – Costs – Withdrawal of suit from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general division and re-filing in commercial division – Plaintiff ordered to pay costs in prior suit –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payment of costs was a condition precedent to the re-filing of the suit – Section 97 – Civil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Code – Order VI, Rule 15 and Order XXVIII, Rule 1 – Civil Pricedure Rules.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135 of [2000] 1 EA 134 (HCT)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initially filed suit against the Defendant in the general division of the High Court but later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applied for leave to withdraw the same and re-file it in the commercial division. The application was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granted on terms that the Plaintiff pay the costs of the suit to the Defendant. The Plaintiff thereafter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re-filed the suit before the commercial division. The Defendant raised two preliminary objections to the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filing of the suit. First, it claimed that the Plaintiff had failed to pay the costs ordered before the general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division. Secondly, it alleged that the plaint was defective as its verification clause did not mention the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particular principal officer who had verified it, contrary to Order XXVIII Rule 1 of the Civil Procedure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Code, and that the word “belief” had been used without stating the grounds of that belief, contrary to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VI Rule 15. In reply, the Plaintiff argued that the words “on terms” in the ruling did not mean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“subject to” and that, in any case, it had not yet been served with a bill of costs. It also claimed that Order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 permitted either the party to the suit himself or a person familiar with the facts to verify the pleadings.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conceded that it had made an error in using the words “and belief” and called upon the court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expunge the offending words under section 97 of the Civil Procedure Code.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use of the words “on terms” simply meant that the Plaintiff had been condemned to pay costs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the general division. It was not the setting up of a condition precedent by the court which would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a blatant violation of the Rules governing the filing of suits in the commercial division.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XXVIII, Rule 1 provided that the secretary or any director or other principal officer of a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corporation could sign and verify a pleading on behalf of the corporation. Order VI, Rule 15 on the other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hand, provided that pleadings had to be signed by either the party himself or some other person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acquainted with the facts of the suit. When read together, there was nothing in the Code that required a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principal officer to specify who he was and, in this instance, the requirements of the Rules had been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complied with; </w:t>
      </w:r>
      <w:r>
        <w:rPr>
          <w:rFonts w:ascii="Times New Roman" w:hAnsi="Times New Roman" w:cs="Times New Roman"/>
          <w:i/>
          <w:iCs/>
          <w:color w:val="000000"/>
        </w:rPr>
        <w:t xml:space="preserve">Lissu v Gulf Air Co </w:t>
      </w:r>
      <w:r>
        <w:rPr>
          <w:rFonts w:ascii="Times New Roman" w:hAnsi="Times New Roman" w:cs="Times New Roman"/>
          <w:color w:val="000000"/>
        </w:rPr>
        <w:t>HCCC No 279 of 1999 doubted. Section 97 of the Civil Procedure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 provided that a court could amend any defect or error in any proceeding in a suit. As both parties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agreed that there were no grounds to support the use of “and belief” in the plaint and its use had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no more than a procedural error, the court was entitled to use its powers to order that the words be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struck out. The Defendant’s argument that the section was not applicable, as proceedings had not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commenced, was untenable since proceedings in a matter commenced as soon as the suit was filed. The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objections would therefore be dismissed.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Lissu v Gulf Air Co </w:t>
      </w:r>
      <w:r>
        <w:rPr>
          <w:rFonts w:ascii="Times New Roman" w:hAnsi="Times New Roman" w:cs="Times New Roman"/>
          <w:color w:val="000000"/>
        </w:rPr>
        <w:t xml:space="preserve">HCCC number 279 of 1999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BC6D4D" w:rsidRDefault="00BC6D4D" w:rsidP="00BC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Mutungi v University of Dar-es-Salaam and others </w:t>
      </w:r>
      <w:r>
        <w:rPr>
          <w:rFonts w:ascii="Times New Roman" w:hAnsi="Times New Roman" w:cs="Times New Roman"/>
          <w:color w:val="000000"/>
        </w:rPr>
        <w:t>civil application number 17 of 1994</w:t>
      </w:r>
    </w:p>
    <w:p w:rsidR="003F18BF" w:rsidRDefault="00BC6D4D" w:rsidP="00BC6D4D">
      <w:r>
        <w:rPr>
          <w:rFonts w:ascii="Times New Roman" w:hAnsi="Times New Roman" w:cs="Times New Roman"/>
          <w:color w:val="000080"/>
        </w:rPr>
        <w:lastRenderedPageBreak/>
        <w:t>Page 136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4D"/>
    <w:rsid w:val="003F18BF"/>
    <w:rsid w:val="00BC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9585-659C-48C4-B6D0-606F9C9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2018-07-05T11:45:00Z</dcterms:created>
  <dcterms:modified xsi:type="dcterms:W3CDTF">2018-07-05T11:46:00Z</dcterms:modified>
</cp:coreProperties>
</file>