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22" w:rsidRDefault="00BC2922" w:rsidP="00CC5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Kiganga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Associates Gold Mining Co Ltd v</w:t>
      </w:r>
      <w:r w:rsidR="00E32E42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Universal Gold NL</w:t>
      </w:r>
    </w:p>
    <w:p w:rsidR="00BC2922" w:rsidRDefault="00BC2922" w:rsidP="00CC5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BC2922" w:rsidRDefault="00BC2922" w:rsidP="00CC5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7 August 2000</w:t>
      </w:r>
    </w:p>
    <w:p w:rsidR="00BC2922" w:rsidRDefault="00BC2922" w:rsidP="00CC5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24/00</w:t>
      </w:r>
    </w:p>
    <w:p w:rsidR="00BC2922" w:rsidRDefault="00BC2922" w:rsidP="00CC5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Kalegeya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C2922" w:rsidRDefault="00BC2922" w:rsidP="00CC5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 K Masha</w:t>
      </w:r>
    </w:p>
    <w:p w:rsidR="00BC2922" w:rsidRDefault="00BC2922" w:rsidP="00CC58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BC2922" w:rsidRDefault="00BC2922" w:rsidP="00BC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Suit filed by corporation – Pleadings – Verification clause – Verification by principal</w:t>
      </w:r>
    </w:p>
    <w:p w:rsidR="00BC2922" w:rsidRDefault="00BC2922" w:rsidP="00BC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officer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principal officer required to specify his exact title – Costs – Withdrawal of suit from</w:t>
      </w:r>
    </w:p>
    <w:p w:rsidR="00BC2922" w:rsidRDefault="00BC2922" w:rsidP="00BC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general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division and re-filing in commercial division – Plaintiff ordered to pay costs in prior suit –</w:t>
      </w:r>
    </w:p>
    <w:p w:rsidR="00BC2922" w:rsidRDefault="00BC2922" w:rsidP="00BC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payment of costs was a condition precedent to the re-filing of the suit – Section 97 – Civil</w:t>
      </w:r>
    </w:p>
    <w:p w:rsidR="00BC2922" w:rsidRDefault="00BC2922" w:rsidP="00BC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 Code – Order VI, Rule 15 and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 Order XXVIII, Rule 1 – Civil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Pricedure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Rules.</w:t>
      </w:r>
    </w:p>
    <w:p w:rsidR="00BC2922" w:rsidRDefault="00824A59" w:rsidP="00824A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BC2922" w:rsidRDefault="00BC2922" w:rsidP="00824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KALEGEYA J: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Defendant has taken up two preliminary objections. First, that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could not file this case before this commercial division of the High Court without first paying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as ordered in High Court civil case number 126/99. Second, that the plaint is defective because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verification clause does not specifically mention the particular principal officer of the Company who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verified it contrary to Order XXVIII Rule 1, Civil Procedure Code nor does it disclose the grounds of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“beliefs” contrary to Order VI, Rule 15, </w:t>
      </w:r>
      <w:proofErr w:type="gramStart"/>
      <w:r>
        <w:rPr>
          <w:rFonts w:ascii="Times New Roman" w:hAnsi="Times New Roman" w:cs="Times New Roman"/>
          <w:color w:val="000000"/>
        </w:rPr>
        <w:t>Civil</w:t>
      </w:r>
      <w:proofErr w:type="gramEnd"/>
      <w:r>
        <w:rPr>
          <w:rFonts w:ascii="Times New Roman" w:hAnsi="Times New Roman" w:cs="Times New Roman"/>
          <w:color w:val="000000"/>
        </w:rPr>
        <w:t xml:space="preserve"> Procedure Code.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Mnyele</w:t>
      </w:r>
      <w:proofErr w:type="spellEnd"/>
      <w:r>
        <w:rPr>
          <w:rFonts w:ascii="Times New Roman" w:hAnsi="Times New Roman" w:cs="Times New Roman"/>
          <w:color w:val="000000"/>
        </w:rPr>
        <w:t>, advocate, appeared for the Plaintiff.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Elaborating further on the grounds for the objections,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insisted that the wording in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 handed down in High Court civil case number 126 of 1999 can only mean that before filing a suit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registry costs in the withdrawn case had to be paid first. As to the effect of lack of specification of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principal officer who signs on behalf of a corporation he referred to High Court civil case number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279 of 1999,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Lissu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Gulf Air Company </w:t>
      </w:r>
      <w:r>
        <w:rPr>
          <w:rFonts w:ascii="Times New Roman" w:hAnsi="Times New Roman" w:cs="Times New Roman"/>
          <w:color w:val="000000"/>
        </w:rPr>
        <w:t>GSC (DSM registry unreported).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Mnyele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countered by stating that the words “on terms” contained in the ruling in civil case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126 of 1999 do not connote “subject to”, adding further that in any case they could not have paid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not yet claimed as they are yet to be served with a bill of costs. Regarding the objection on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verification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Mnyele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first limb has no support because Order VI, Rule 15, Civil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 permits either of the two categories of persons to verify a pleading, the party himself or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other person conversant with the facts, and that as a matter of common practice principal officers of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corporations verify pleadings. As to the second limb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Mnyele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the error of including in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verification clause the wording “and belief” without stating grounds thereof. He then proceeded to pray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for leave to amend the pleading by deleting the offending words or in the alternative called upon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to expunge them under section 97 of the Civil Procedure Code.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 rejoinder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section 97 Civil Procedure Code is applicable in proceedings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not pleadings, and as for amendment he insisted that there is not application upon which the court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 act.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charged also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Mnyele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evaded making reference to Order XXVIII Civil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 Code and the decision by </w:t>
      </w:r>
      <w:proofErr w:type="spellStart"/>
      <w:r>
        <w:rPr>
          <w:rFonts w:ascii="Times New Roman" w:hAnsi="Times New Roman" w:cs="Times New Roman"/>
          <w:color w:val="000000"/>
        </w:rPr>
        <w:t>Msumi</w:t>
      </w:r>
      <w:proofErr w:type="spellEnd"/>
      <w:r>
        <w:rPr>
          <w:rFonts w:ascii="Times New Roman" w:hAnsi="Times New Roman" w:cs="Times New Roman"/>
          <w:color w:val="000000"/>
        </w:rPr>
        <w:t xml:space="preserve"> J K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Lissu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start with ground one which does not deserve to arrest us even for a while.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Facts agreed upon as being uncontroverted are that the suit now filed with this Court was first filed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main High Court registry at DSM as civil case number 126 of 1999. Parties rested in the same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capacities as they appear now. At one time, in the proceedings, the Plaintiff applied to the Court for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orders as follows: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“ 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a)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may be pleased to grant leave to the Plaintiff to withdraw the suit from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High Court (General division) and thereupon permit it to file the same in the High Court (Commercial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division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Mutatis Mutandis</w:t>
      </w:r>
      <w:r>
        <w:rPr>
          <w:rFonts w:ascii="Times New Roman" w:hAnsi="Times New Roman" w:cs="Times New Roman"/>
          <w:color w:val="000000"/>
          <w:sz w:val="20"/>
          <w:szCs w:val="20"/>
        </w:rPr>
        <w:t>)”.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After hearing the parties the Court held (for clarity let the relevant part be quoted at length):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“From the quoted provision of the law, the court has such powers to grant permission to the Plaintiff to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withdraw the plaint with liberty to re-file it on such terms as it thinks fit. The Applicant wants to re-file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same suit at the Commercial division of the High Court. The Respondent’s counsel is afraid that if leave is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granted, then he would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loose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his costs. He therefore submitted that there are no sufficient grounds to warrant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Court to grant the leave. However, the fear of the learned counsel may be taken care of as the court is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empowered, to grant the leave sought on such terms as it thinks fit. The main reason for the Applicant to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withdraw and re-file is only that the commercial division of this Court is more suited for the determination of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case and I see it as a sufficient ground for allowing him to withdraw and re-file subject to the terms which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be made by this Court.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 it can be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seen from the proceedings, all the pleadings where completed. The case was to go for mediation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this application was made. The counsel for the Defendant/Respondent must have spent both time and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energy in the preparation of the case. Hence, the application to withdraw the plaint and re-file it at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Commercial division of the High Court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is granted on terms that the Applicant pays the costs of this suit to the</w:t>
      </w:r>
      <w:r w:rsidR="00824A5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Respondent</w:t>
      </w:r>
      <w:r>
        <w:rPr>
          <w:rFonts w:ascii="Times New Roman" w:hAnsi="Times New Roman" w:cs="Times New Roman"/>
          <w:color w:val="000000"/>
          <w:sz w:val="20"/>
          <w:szCs w:val="20"/>
        </w:rPr>
        <w:t>”. (Emphasis mine)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is that the underlined words in the last paragraph have the effect of barring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from filing the present suit until the costs in civil case number 126 of 1999 have been paid.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greatest respect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kind of interpretation cannot be accepted in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so concluded because of various reasons.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First, as any lawyer conversant with the Civil Procedure Code will concede, the words “on such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terms” or “on terms” are dotted everywhere in that Code whenever it is provided that the Court’s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indulgence can be moved by a party to exercise its discretion in certain aspects that is applications.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simply mean that the Court can in exercising its discretion, set certain terms. I agree that in certain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situations the Court may set as conditions precedent for the doing of a certain act or enjoying a certain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but on those such occasions the order would expressly so provide. The words “on terms” here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employed on their general applicability in that the application to withdraw with liberty to re-file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in the commercial division was allowed but the Plaintiff was condemned in costs.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Secondly, if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was correct it would mean that not only would the re-filing of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in the commercial division be barred but also civil case number 126 of 1999 would still be on list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(that is, not yet withdrawn) till the costs are paid. This is so because the Plaintiff’s application was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two-limbed, to have the suit withdrawn from the general High Court registry, and leave to have it re-filed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commercial division. The Court gave a green light to both limbs “on terms” that Plaintiff/Applicant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pays the Respondent’s costs. If then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saying that the re-filing of the suit cannot be effected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costs are paid first then he should go further and say that the withdrawal has not yet been effected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same reason. The absurdity of that argument needs no highlighting.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Thirdly, upholding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would be tantamount to blatant violation of the law.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governing the filing of a suit in the commercial division registry, apart from the obvious one of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lack of filing fees,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only two impediments which can block the filing of suit therein where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is not a commercial case, and where the intended suit concerns a commercial matter which is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before another court or tribunal of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competent jurisdiction or which falls within the competency of a lower court. No court would be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mandated to set other conditions regarding the filing of such suit in this registry.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Fourthly,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knows too well, unless unchallenged, generally, before a party enjoys costs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 in a certain case he has a long string of procedures to go through. The bill of costs has to be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filed, argued by parties before the taxing master after which a ruling is given and an aggrieved party has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appellate avenue at his disposal. This process can take years taking into consideration the bottlenecks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suffocating our system. Is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suggesting that the court could give an order which has in its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 suggestions that the re-filing of the suit could only be done at the end of all the said procedural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impediments?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aspect therefore the preliminary objection has no legs on which to stand. The suit was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filed before this Court and the question of costs awarded in another case can be pursued in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and relevant manner and have no bearing with the said filing.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now turn to the second two-limbed preliminary objection. We will start with the first limb that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verification clause was not properly verified.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his arguments,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cited the decision of the Court (</w:t>
      </w:r>
      <w:proofErr w:type="spellStart"/>
      <w:r>
        <w:rPr>
          <w:rFonts w:ascii="Times New Roman" w:hAnsi="Times New Roman" w:cs="Times New Roman"/>
          <w:color w:val="000000"/>
        </w:rPr>
        <w:t>Msumi</w:t>
      </w:r>
      <w:proofErr w:type="spellEnd"/>
      <w:r>
        <w:rPr>
          <w:rFonts w:ascii="Times New Roman" w:hAnsi="Times New Roman" w:cs="Times New Roman"/>
          <w:color w:val="000000"/>
        </w:rPr>
        <w:t xml:space="preserve"> JK) in civil case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279 of 1999 wherein it was stated: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second ground for the Plaintiff’s preliminary objection is that in the verification clause of the written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statement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identity of the principal officer who signed it on behalf the Defendant’s company has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been disclosed. According to Order XXVIII Rule 1 of civil procedure code pleadings of a company in a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suit may be verified by the secretary of director or any other principal officer of the corporation who is able to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depose to the facts of the case. From the wording of this provision it is important that the identity of the post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held by such principle officer in the company must be specified. In other words if such officer is neither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secretary nor director, his position in the company must be specified. It is not enough just to say that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verifying person is a principal officer of the company able to depose to the facts of the case. For this reason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written statement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defective hence the preliminary objection is upheld. However for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interest of justice Defendants are granted leave to amend the written statement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enable them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rectify the aforementioned defects. The said amended written statement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be filed within 15 days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date of this ruling”.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Order XXVIII, Rule 1 of the Civil Procedure Code referred to provides as follows: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suits by or against a corporation, any pleading may be signed and verified on behalf of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corporation by the secretary or by any director or other principal officer of the corporation who is able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depose to the facts of the case”.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have carefully addressed myself to the gist of the arguments fronted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color w:val="000000"/>
        </w:rPr>
        <w:t>, the quoted excerpt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decision in civil case number 279 of 1999 and the order of the Civil Procedure Code in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question, but, with the greatest respect to </w:t>
      </w:r>
      <w:proofErr w:type="spellStart"/>
      <w:r>
        <w:rPr>
          <w:rFonts w:ascii="Times New Roman" w:hAnsi="Times New Roman" w:cs="Times New Roman"/>
          <w:color w:val="000000"/>
        </w:rPr>
        <w:t>Msumi</w:t>
      </w:r>
      <w:proofErr w:type="spellEnd"/>
      <w:r>
        <w:rPr>
          <w:rFonts w:ascii="Times New Roman" w:hAnsi="Times New Roman" w:cs="Times New Roman"/>
          <w:color w:val="000000"/>
        </w:rPr>
        <w:t xml:space="preserve"> JK, I have been unable to position myself in agreement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the decision in the said case hence unable </w:t>
      </w:r>
      <w:proofErr w:type="spellStart"/>
      <w:r>
        <w:rPr>
          <w:rFonts w:ascii="Times New Roman" w:hAnsi="Times New Roman" w:cs="Times New Roman"/>
          <w:color w:val="000000"/>
        </w:rPr>
        <w:t>too</w:t>
      </w:r>
      <w:proofErr w:type="spellEnd"/>
      <w:r>
        <w:rPr>
          <w:rFonts w:ascii="Times New Roman" w:hAnsi="Times New Roman" w:cs="Times New Roman"/>
          <w:color w:val="000000"/>
        </w:rPr>
        <w:t xml:space="preserve"> to accept the submission launched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mindful of the fact that judges of the same court should seldom give conflicting decisions.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basis of this in any judicial system needs no clarification. Some light on the logic behind can be gathered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observations made by the highest court of the land (the Court of Appeal) made in Court of Appeal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miscellaneous civil application number 17 of 1994,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Mutungi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University of Dar-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-Salaam and others</w:t>
      </w:r>
      <w:r w:rsidR="00824A5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(DSM registry) and which are as follows: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“With due respect to the learned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Jaji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Kiongozi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it is not a matter of judicial courtesy but a matter of duty to act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judicially which requires a Judge not lightly to dissent from the considered opinion of his brethren.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learned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Jaji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Kiongozi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appears to hold the view that to allow the application in the present case would amount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usurping the powers of hearing an appeal by the Minister responsible for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affairs. Since the same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court presided over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Mapigano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J, in the earlier case originating from the same place and involving the same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Respondents had granted a similar application one expects sufficient reasons to be given for the results in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present case being different from those in the earlier case. This is necessary to avoid giving the parties and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general public a false impression that results of cases in courts of law perhaps depend more on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personalities of Judges than on the law of this land”.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thus with great reluctance that I hold the contrary view.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XXVIII, Rule 1 should be read together with Order VI, Rule 15(1), (2) and (3) of the Civil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Code. Order XXVIII, Rule 1 has already been quoted. Order VI, Rule 15(1), (2) and (3)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provide as follows: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“15(1) Save as otherwise provided by any law for the time being in force, every pleading shall be verified at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foot by the party or by one of the parties pleading or by some other person proved to the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satisfaction of the court to be acquainted with the facts of the case.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person verifying shall specify, by reference to the numbered paragraphs of the pleading, what he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verifies of his own knowledge and what he verifies upon information received and believed to be true.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The verification shall be signed by the person making it and shall state the date on which and the place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at which it was signed”.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two provisions of the law taken together, in my view, clearly prescribe who can verify a pleading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filed by a company as is the Plaintiff in this case. It is either the director, a secretary or any of its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 officer. Order VI, Rule 15(3) Civil Procedure Code sheds light on how the verification is to be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done: by signing. And, of course, the person signing should indicate in what capacity he is signing. In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before us the plaint explicitly tells us who effected the verification “principal officer of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conversant with the facts of this case”.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only are we informed of the status of the person signing but also we are told that this particular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“principal officer of the Plaintiff is conversant with facts of this case” as per requirements of Order VI,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 15(1) and Order XXVIII (1) Civil Procedure Code. It is my considered view that up to that point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has fitly been complied with. In neither provision do I read the requirement that if signed by a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 officer he must specify who he is (which requirement, if it were correct, would apply as well to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situations where verification is done by a director because it is common knowledge that a company has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than one director and in varying capacities as it the case with principal officers).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appreciate, and we all know, that the requirement for verification is primarily aimed at countering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possible abuse of the court process and fixing responsibility. In suits involving companies verifications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in the mode of the type now at hand suffice. However, if the other party is in doubt as to whether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verifier is or is not a principal officer of the company he can take it up as a challenge and if 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convinces the court as to the need the said officer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required to prove his status to the satisfaction of the court either by affidavit or otherwise as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may deem proper. It is not of less significance that the same Order XXVIII Rule 3 Civil Procedure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Code offers a cushioning for any clarity or issue that may accrue by providing: “Order XXVIII Rule 3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may, at any stage of the suit, require the personal appearance of the secretary or of any director of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principal officer of corporation who may be able to answer material questions relating to the suit”.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 therefore I hold that in suits involving companies, verifications endorsed with the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phrase: “principal officer of the Defendant conversant with the facts of the case” and duly signed are not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defective at all entailing an order for amendment. Of course, even if I had held that the clause is defective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still this would not have resulted in the throwing out of the whole pleading save that it would have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attracted an order for amendment. This disposes of the first limb of the second preliminary objection.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now come to the last limb. Both parties are agreed that the words in the </w:t>
      </w:r>
      <w:r>
        <w:rPr>
          <w:rFonts w:ascii="Times New Roman" w:hAnsi="Times New Roman" w:cs="Times New Roman"/>
          <w:color w:val="000000"/>
        </w:rPr>
        <w:lastRenderedPageBreak/>
        <w:t>body of the verification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“and belief” are legally unsupported as no grounds thereof are laid.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question is what should this Court do? Reject the plaint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impresses or order for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amendment or expunge them under section 97 Civil Procedure Code as advanced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Mnyele</w:t>
      </w:r>
      <w:proofErr w:type="spellEnd"/>
      <w:r>
        <w:rPr>
          <w:rFonts w:ascii="Times New Roman" w:hAnsi="Times New Roman" w:cs="Times New Roman"/>
          <w:color w:val="000000"/>
        </w:rPr>
        <w:t>?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defect in a verification clause to a plaint is just a procedural error the consequence of which is not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have the plaint thrown out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impresses but rather which attracts an amendment if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necessary. In fact, if the defect is of insignificance it can be ignored. It is not disputed that the words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“and belief” have been irrelevantly included in the clause. In my considered opinion this is a fit case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 court can act under section 97 of Civil Procedure Code and order to have the same struck out.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97 Civil Procedure Code provides: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“97. The court may at any time, and on such terms as to costs or otherwise as it may think fit, amend any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defect or error in any proceeding in a suit; and all necessary amendments shall be made for the purpose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determining the real question or issue raised by or depending on such proceeding”.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However,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stands on the opposite end urging that the section is inapplicable. Again, with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respect, the argument that the said section is irrelevant at this stage as we are not yet within precincts of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“proceedings” is very surprising, to say the least. Why? The answer is obvious. The moment a suit or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is filed, proceedings in that particular matter will have been commenced. It is not surprising that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posing the argument did not attempt to tell us at what time, precisely, in his view,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envisaged under section 97 Civil Procedure Code commence.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Defining the term “proceeding” in relation to courts </w:t>
      </w:r>
      <w:r>
        <w:rPr>
          <w:rFonts w:ascii="Times New Roman" w:hAnsi="Times New Roman" w:cs="Times New Roman"/>
          <w:i/>
          <w:iCs/>
          <w:color w:val="000000"/>
        </w:rPr>
        <w:t xml:space="preserve">Black’s Law Dictionary </w:t>
      </w:r>
      <w:r>
        <w:rPr>
          <w:rFonts w:ascii="Times New Roman" w:hAnsi="Times New Roman" w:cs="Times New Roman"/>
          <w:color w:val="000000"/>
        </w:rPr>
        <w:t xml:space="preserve">(6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at 1204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persuasively has the following: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a general sense, the form and manner of conducting juridical business before a court or judicial officer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regular and orderly progress in form of law including all possible steps in an action from its commencement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the execution of judgment . . . All the steps or measures adopted in the prosecution 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an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 . . . The word may be used synonymously with ‘action’ or ‘suit’ to describe the entire course of an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 at law or suit in equity from the assurance of the writ or filling of the complaint until the entry of a final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judgment, or may be used to describe any act done by authority of a court of law and every step embrace all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matters that occur in its progress judicially.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Term ‘proceeding’ may refer not only to a complete remedy but also to a mere procedural step that is part of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larger action or special proceeding . . . In a more particular sense, any application to a court of justice,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however made, for aid in the enforcement of rights, for relief, for redress of injuries, for damages, or for any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remedial object”.</w:t>
      </w:r>
      <w:r w:rsidR="00824A5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fully associate myself with the above illustrative definition which unreservedly counters the opposite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 as launched. Pleadings are part of the proceedings. I cannot conceive how otherwise they could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separable.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the nature of the procedural defect at hand it is hereby ordered that the two offending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“and belief” contained in the verification clause be struck out. This disposes of the second limb of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objection.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conclusion, it stands clear that objections had no foundation to support them and are, consequently, all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dismissed.</w:t>
      </w:r>
      <w:r w:rsidR="00824A5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Applicant:</w:t>
      </w:r>
    </w:p>
    <w:p w:rsidR="00BC2922" w:rsidRDefault="00BC2922" w:rsidP="00BC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Mnyele</w:t>
      </w:r>
      <w:proofErr w:type="spellEnd"/>
    </w:p>
    <w:p w:rsidR="00BC2922" w:rsidRDefault="00BC2922" w:rsidP="00BC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BC2922" w:rsidRDefault="00BC2922" w:rsidP="00BC29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Majithia</w:t>
      </w:r>
      <w:proofErr w:type="spellEnd"/>
    </w:p>
    <w:p w:rsidR="00664035" w:rsidRDefault="00664035" w:rsidP="00824A59">
      <w:pPr>
        <w:tabs>
          <w:tab w:val="left" w:pos="1628"/>
        </w:tabs>
      </w:pP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22"/>
    <w:rsid w:val="00664035"/>
    <w:rsid w:val="00824A59"/>
    <w:rsid w:val="00BC2922"/>
    <w:rsid w:val="00CC5886"/>
    <w:rsid w:val="00E3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9EBB9-2049-42CC-9414-A22AE448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2960</Words>
  <Characters>16877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2018-07-05T12:06:00Z</dcterms:created>
  <dcterms:modified xsi:type="dcterms:W3CDTF">2018-07-13T04:13:00Z</dcterms:modified>
</cp:coreProperties>
</file>