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471" w:rsidRDefault="00A00471" w:rsidP="005E3A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Kimemia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Republic</w:t>
      </w:r>
    </w:p>
    <w:p w:rsidR="00A00471" w:rsidRDefault="00A00471" w:rsidP="005E3A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</w:p>
    <w:p w:rsidR="00A00471" w:rsidRDefault="00A00471" w:rsidP="005E3A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14 May 2004</w:t>
      </w:r>
    </w:p>
    <w:p w:rsidR="00A00471" w:rsidRDefault="00A00471" w:rsidP="005E3A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110/03</w:t>
      </w:r>
    </w:p>
    <w:p w:rsidR="00A00471" w:rsidRDefault="00A00471" w:rsidP="005E3A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 and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AG JA</w:t>
      </w:r>
    </w:p>
    <w:p w:rsidR="00A00471" w:rsidRDefault="00A00471" w:rsidP="005E3A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00471" w:rsidRDefault="00A00471" w:rsidP="005E3A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A00471" w:rsidRDefault="00A00471" w:rsidP="00A00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Crime – Robbery with violence – Elements of the offence – Whether knife and toy gun constituted</w:t>
      </w:r>
    </w:p>
    <w:p w:rsidR="00A00471" w:rsidRDefault="00A00471" w:rsidP="00A00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dangerous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or offensive weapons – Section 296(2) – Penal Code.</w:t>
      </w:r>
    </w:p>
    <w:p w:rsidR="00A00471" w:rsidRDefault="00A00471" w:rsidP="00A00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procedure – Charge – Overloade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>d with all the alternative particulars of robbery with</w:t>
      </w:r>
    </w:p>
    <w:p w:rsidR="00A00471" w:rsidRDefault="00A00471" w:rsidP="00A00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violence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Counsel for accused did not raise any objection to the charges – Whether failure of justice has</w:t>
      </w:r>
    </w:p>
    <w:p w:rsidR="00A00471" w:rsidRDefault="00A00471" w:rsidP="00A00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been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occasioned.</w:t>
      </w:r>
    </w:p>
    <w:p w:rsidR="00A00471" w:rsidRDefault="00A00471" w:rsidP="00A00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Words and Phrases – “Dangerous or offensive weapons” – Articles made or adapted for causing</w:t>
      </w:r>
    </w:p>
    <w:p w:rsidR="00A00471" w:rsidRDefault="00A00471" w:rsidP="00A00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injury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the person – Whether toy gun would be an offensive weapon – Section 89(4) – Penal Code</w:t>
      </w:r>
    </w:p>
    <w:p w:rsidR="00A00471" w:rsidRDefault="00A00471" w:rsidP="00A00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(Chapter 63) – Section 2 – Firearms Act (Chapter 114).</w:t>
      </w:r>
    </w:p>
    <w:p w:rsidR="00A00471" w:rsidRDefault="00A00471" w:rsidP="00A00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E3A71" w:rsidRDefault="00A00471" w:rsidP="005E3A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two Appellants were convicted of robbery with violence and the conviction affirmed on first appeal.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common ground that they were passengers in a public service vehicle which was car-jacked by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robbers. The prosecution’s case was that the two Appellants with a third man who died subsequently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stopped the driver and commandeered the vehicle into a bush where they robbed the other passengers of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cash and mobile phones. The suspects were armed with knives and a toy gun. They were alleged to have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used violence at the time of the offence.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subsequently drove the vehicle back to the main road where they were accosted by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villagers and beaten up on suspicion of being robbers. Their fellow passengers later came and identified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them. One suspect died on the way to hospital while the two Appellants recovered to stand trial. The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recorded inquiry statements in which they admitted to having participated in the robbery.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statements were later retracted.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second appeal, the Appellants argued that the particulars of robbery with violence had not been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established.</w:t>
      </w:r>
      <w:r w:rsidR="005E3A71">
        <w:rPr>
          <w:rFonts w:ascii="Times New Roman" w:hAnsi="Times New Roman" w:cs="Times New Roman"/>
          <w:color w:val="000000"/>
        </w:rPr>
        <w:t xml:space="preserve"> </w:t>
      </w:r>
    </w:p>
    <w:p w:rsidR="005E3A71" w:rsidRDefault="005E3A71" w:rsidP="005E3A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00471" w:rsidRDefault="00A00471" w:rsidP="005E3A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An offensive weapon is any article made or adapted for use for causing injury to the person.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Republic </w:t>
      </w:r>
      <w:r>
        <w:rPr>
          <w:rFonts w:ascii="Times New Roman" w:hAnsi="Times New Roman" w:cs="Times New Roman"/>
          <w:color w:val="000000"/>
        </w:rPr>
        <w:t>[1973] EA 373 followed. Knives would therefore amount to offensive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weapons. A toy gun may however not be considered an offensive weapon unless defined as a firearm by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Minister under section 2 of the Firearms Act.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objection was taken to the overloading of particulars on the charge of robbery with violence. The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defect in the charge was a mere irregularity, and no injustice was occasioned since the accused were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represented by counsel.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Appellants were clearly identified by the prosecution witnesses. Their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 xml:space="preserve"> were implausible,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considering their detailed statements under inquiry, which were produced without any objection.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the first appellate court had discharged its duty to reconsider the evidence, and had arrived at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concurrent findings of fact with the trial court, the second appellate court could only deal with issues of</w:t>
      </w:r>
      <w:r w:rsidR="005E3A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law.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Kiringo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[1982] KLR 213 followed.</w:t>
      </w:r>
      <w:r w:rsidR="005E3A71">
        <w:rPr>
          <w:rFonts w:ascii="Times New Roman" w:hAnsi="Times New Roman" w:cs="Times New Roman"/>
          <w:color w:val="000000"/>
        </w:rPr>
        <w:t xml:space="preserve"> </w:t>
      </w:r>
    </w:p>
    <w:p w:rsidR="00A00471" w:rsidRDefault="00A00471" w:rsidP="00A00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A00471" w:rsidRDefault="00A00471" w:rsidP="00A00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A00471" w:rsidRDefault="00A00471" w:rsidP="00A00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A00471" w:rsidRDefault="00A00471" w:rsidP="00A00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A00471" w:rsidRDefault="00A00471" w:rsidP="00A00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Kiringo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[1982] KLR 213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A00471" w:rsidRDefault="00A00471" w:rsidP="00A00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Muthiori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[1981] KLR 46</w:t>
      </w:r>
    </w:p>
    <w:p w:rsidR="0021070D" w:rsidRDefault="00A00471" w:rsidP="00A00471">
      <w:proofErr w:type="spellStart"/>
      <w:r>
        <w:rPr>
          <w:rFonts w:ascii="Times New Roman" w:hAnsi="Times New Roman" w:cs="Times New Roman"/>
          <w:i/>
          <w:iCs/>
          <w:color w:val="000000"/>
        </w:rPr>
        <w:t>Mwaura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Republic </w:t>
      </w:r>
      <w:r>
        <w:rPr>
          <w:rFonts w:ascii="Times New Roman" w:hAnsi="Times New Roman" w:cs="Times New Roman"/>
          <w:color w:val="000000"/>
        </w:rPr>
        <w:t>[1973] EA 37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71"/>
    <w:rsid w:val="0021070D"/>
    <w:rsid w:val="005E3A71"/>
    <w:rsid w:val="00A0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A01C6-A2D3-4E5F-95AB-08259695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2018-07-04T14:09:00Z</dcterms:created>
  <dcterms:modified xsi:type="dcterms:W3CDTF">2018-07-13T04:14:00Z</dcterms:modified>
</cp:coreProperties>
</file>