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Kimemia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Republic</w:t>
      </w:r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May 2004</w:t>
      </w:r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110/03</w:t>
      </w:r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AG JA</w:t>
      </w:r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Crime – Robbery with violence – Elements of the offence – Whether knife and toy gun constituted</w:t>
      </w:r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dangerous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or offensive weapons – Section 296(2) – Penal Code.</w:t>
      </w:r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procedure – Charge – Overloaded with all the alternative particulars of robbery with</w:t>
      </w:r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violence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Counsel for accused did not raise any objection to the charges – Whether failure of justice has</w:t>
      </w:r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been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occasioned.</w:t>
      </w:r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Words and Phrases – “Dangerous or offensive weapons” – Articles made or adapted for causing</w:t>
      </w:r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injury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to the person – Whether toy gun would be an offensive weapon – Section 89(4) – Penal Code</w:t>
      </w:r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(Chapter 63) – Section 2 – Firearms Act (Chapter 114).</w:t>
      </w:r>
    </w:p>
    <w:p w:rsidR="00BC1AA1" w:rsidRDefault="00D436D7" w:rsidP="00D436D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BC1AA1" w:rsidRDefault="00BC1AA1" w:rsidP="00D43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Tunoi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JJA and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Ringera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AG JA: </w:t>
      </w:r>
      <w:r>
        <w:rPr>
          <w:rFonts w:ascii="Times New Roman" w:hAnsi="Times New Roman" w:cs="Times New Roman"/>
          <w:color w:val="000000"/>
        </w:rPr>
        <w:t xml:space="preserve">John </w:t>
      </w:r>
      <w:proofErr w:type="spellStart"/>
      <w:r>
        <w:rPr>
          <w:rFonts w:ascii="Times New Roman" w:hAnsi="Times New Roman" w:cs="Times New Roman"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Kimemia</w:t>
      </w:r>
      <w:proofErr w:type="spellEnd"/>
      <w:r>
        <w:rPr>
          <w:rFonts w:ascii="Times New Roman" w:hAnsi="Times New Roman" w:cs="Times New Roman"/>
          <w:color w:val="000000"/>
        </w:rPr>
        <w:t>, The first appellant in this appeal was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second accused at the trial before the Principle Magistrate, </w:t>
      </w:r>
      <w:proofErr w:type="spellStart"/>
      <w:r>
        <w:rPr>
          <w:rFonts w:ascii="Times New Roman" w:hAnsi="Times New Roman" w:cs="Times New Roman"/>
          <w:color w:val="000000"/>
        </w:rPr>
        <w:t>Kerugoya</w:t>
      </w:r>
      <w:proofErr w:type="spellEnd"/>
      <w:r>
        <w:rPr>
          <w:rFonts w:ascii="Times New Roman" w:hAnsi="Times New Roman" w:cs="Times New Roman"/>
          <w:color w:val="000000"/>
        </w:rPr>
        <w:t xml:space="preserve"> while Peter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Ndungu</w:t>
      </w:r>
      <w:proofErr w:type="spellEnd"/>
      <w:r>
        <w:rPr>
          <w:rFonts w:ascii="Times New Roman" w:hAnsi="Times New Roman" w:cs="Times New Roman"/>
          <w:color w:val="000000"/>
        </w:rPr>
        <w:t>,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 Appellant in this appeal was the first accused. The two Appellants were jointly charged with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seven offences of robbery with violence contrary to section 296(2) of the Penal Code. They were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convicted of five counts and acquitted on two counts.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respective appeals to the superior court which were consolidated were dismissed. They now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to this Court mainly on the grounds that, both the subordinate court and the superior court erred in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in concluding that the particulars of the charges were proved as required by law (contained in section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296(2) of the Penal Code); the superior court erred in law and fact in upholding the convictions while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relying on dock identification which is worthless and that the superior court failed to evaluate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of the subordinate court in relationship to identification of the Appellants, burden of proof,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identification of stolen goods, alleged confessions which were retracted and common intention.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 19 September 1999 Joseph </w:t>
      </w:r>
      <w:proofErr w:type="spellStart"/>
      <w:r>
        <w:rPr>
          <w:rFonts w:ascii="Times New Roman" w:hAnsi="Times New Roman" w:cs="Times New Roman"/>
          <w:color w:val="000000"/>
        </w:rPr>
        <w:t>Weru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Kirungu</w:t>
      </w:r>
      <w:proofErr w:type="spellEnd"/>
      <w:r>
        <w:rPr>
          <w:rFonts w:ascii="Times New Roman" w:hAnsi="Times New Roman" w:cs="Times New Roman"/>
          <w:color w:val="000000"/>
        </w:rPr>
        <w:t xml:space="preserve"> (PW1), referred to herein as Joseph </w:t>
      </w:r>
      <w:proofErr w:type="spellStart"/>
      <w:r>
        <w:rPr>
          <w:rFonts w:ascii="Times New Roman" w:hAnsi="Times New Roman" w:cs="Times New Roman"/>
          <w:color w:val="000000"/>
        </w:rPr>
        <w:t>Weru</w:t>
      </w:r>
      <w:proofErr w:type="spellEnd"/>
      <w:r>
        <w:rPr>
          <w:rFonts w:ascii="Times New Roman" w:hAnsi="Times New Roman" w:cs="Times New Roman"/>
          <w:color w:val="000000"/>
        </w:rPr>
        <w:t xml:space="preserve"> was driving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motor vehicle registration number KAJ 292, a Nissan </w:t>
      </w:r>
      <w:proofErr w:type="spellStart"/>
      <w:r>
        <w:rPr>
          <w:rFonts w:ascii="Times New Roman" w:hAnsi="Times New Roman" w:cs="Times New Roman"/>
          <w:color w:val="000000"/>
        </w:rPr>
        <w:t>Matatu</w:t>
      </w:r>
      <w:proofErr w:type="spellEnd"/>
      <w:r>
        <w:rPr>
          <w:rFonts w:ascii="Times New Roman" w:hAnsi="Times New Roman" w:cs="Times New Roman"/>
          <w:color w:val="000000"/>
        </w:rPr>
        <w:t xml:space="preserve"> from Nairobi to </w:t>
      </w:r>
      <w:proofErr w:type="spellStart"/>
      <w:r>
        <w:rPr>
          <w:rFonts w:ascii="Times New Roman" w:hAnsi="Times New Roman" w:cs="Times New Roman"/>
          <w:color w:val="000000"/>
        </w:rPr>
        <w:t>Karatina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Nyeri</w:t>
      </w:r>
      <w:proofErr w:type="spellEnd"/>
      <w:r>
        <w:rPr>
          <w:rFonts w:ascii="Times New Roman" w:hAnsi="Times New Roman" w:cs="Times New Roman"/>
          <w:color w:val="000000"/>
        </w:rPr>
        <w:t>. He left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Nairobi at about 11:00am. He had eighteen fare paying passengers including Joseph </w:t>
      </w:r>
      <w:proofErr w:type="spellStart"/>
      <w:r>
        <w:rPr>
          <w:rFonts w:ascii="Times New Roman" w:hAnsi="Times New Roman" w:cs="Times New Roman"/>
          <w:color w:val="000000"/>
        </w:rPr>
        <w:t>Irungu</w:t>
      </w:r>
      <w:proofErr w:type="spellEnd"/>
      <w:r>
        <w:rPr>
          <w:rFonts w:ascii="Times New Roman" w:hAnsi="Times New Roman" w:cs="Times New Roman"/>
          <w:color w:val="000000"/>
        </w:rPr>
        <w:t xml:space="preserve"> (PW6), who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the conductor and the two Appellants. After crossing Tana bridge and before reaching </w:t>
      </w:r>
      <w:proofErr w:type="spellStart"/>
      <w:r>
        <w:rPr>
          <w:rFonts w:ascii="Times New Roman" w:hAnsi="Times New Roman" w:cs="Times New Roman"/>
          <w:color w:val="000000"/>
        </w:rPr>
        <w:t>Makutano</w:t>
      </w:r>
      <w:proofErr w:type="spellEnd"/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trading </w:t>
      </w:r>
      <w:proofErr w:type="spellStart"/>
      <w:r>
        <w:rPr>
          <w:rFonts w:ascii="Times New Roman" w:hAnsi="Times New Roman" w:cs="Times New Roman"/>
          <w:color w:val="000000"/>
        </w:rPr>
        <w:t>centre</w:t>
      </w:r>
      <w:proofErr w:type="spellEnd"/>
      <w:r>
        <w:rPr>
          <w:rFonts w:ascii="Times New Roman" w:hAnsi="Times New Roman" w:cs="Times New Roman"/>
          <w:color w:val="000000"/>
        </w:rPr>
        <w:t xml:space="preserve"> a passenger who was seated next to the driver and who was identified by Appellants in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statements to police as </w:t>
      </w:r>
      <w:proofErr w:type="spellStart"/>
      <w:r>
        <w:rPr>
          <w:rFonts w:ascii="Times New Roman" w:hAnsi="Times New Roman" w:cs="Times New Roman"/>
          <w:color w:val="000000"/>
        </w:rPr>
        <w:t>Jotham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 asked the driver to drop him at a certain signpost. As the drive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stopped, </w:t>
      </w:r>
      <w:proofErr w:type="spellStart"/>
      <w:r>
        <w:rPr>
          <w:rFonts w:ascii="Times New Roman" w:hAnsi="Times New Roman" w:cs="Times New Roman"/>
          <w:color w:val="000000"/>
        </w:rPr>
        <w:t>Jotham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 pointed a pistol at his chest and held the driver by the collar of the shirt and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searched the driver’s pockets for money. There was another man seated second from the driver in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front cabin who produced a knife, came out of the vehicle, opened the driver’s door and pushed the driver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dash board and took over the vehicle. He then drove the vehicle into the bush and stopped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about 1km from the tarmac. That man was identified as the first accused in the trial (Peter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 w:rsidR="00D436D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Ndungu</w:t>
      </w:r>
      <w:proofErr w:type="spellEnd"/>
      <w:r>
        <w:rPr>
          <w:rFonts w:ascii="Times New Roman" w:hAnsi="Times New Roman" w:cs="Times New Roman"/>
          <w:color w:val="000000"/>
        </w:rPr>
        <w:t>). There was a third person seated in the first seat behind the driver and next to the conductor,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Joseph </w:t>
      </w:r>
      <w:proofErr w:type="spellStart"/>
      <w:r>
        <w:rPr>
          <w:rFonts w:ascii="Times New Roman" w:hAnsi="Times New Roman" w:cs="Times New Roman"/>
          <w:color w:val="000000"/>
        </w:rPr>
        <w:t>Irungu</w:t>
      </w:r>
      <w:proofErr w:type="spellEnd"/>
      <w:r>
        <w:rPr>
          <w:rFonts w:ascii="Times New Roman" w:hAnsi="Times New Roman" w:cs="Times New Roman"/>
          <w:color w:val="000000"/>
        </w:rPr>
        <w:t xml:space="preserve"> and Mercy </w:t>
      </w:r>
      <w:proofErr w:type="spellStart"/>
      <w:r>
        <w:rPr>
          <w:rFonts w:ascii="Times New Roman" w:hAnsi="Times New Roman" w:cs="Times New Roman"/>
          <w:color w:val="000000"/>
        </w:rPr>
        <w:t>Njeri</w:t>
      </w:r>
      <w:proofErr w:type="spellEnd"/>
      <w:r>
        <w:rPr>
          <w:rFonts w:ascii="Times New Roman" w:hAnsi="Times New Roman" w:cs="Times New Roman"/>
          <w:color w:val="000000"/>
        </w:rPr>
        <w:t xml:space="preserve"> (PW2). When the vehicle stopped at the sign post the third person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produced a knife and ordered the passengers to lie down. He then searched the passengers for money.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third man was identified as the second accused in the trial (John </w:t>
      </w:r>
      <w:proofErr w:type="spellStart"/>
      <w:r>
        <w:rPr>
          <w:rFonts w:ascii="Times New Roman" w:hAnsi="Times New Roman" w:cs="Times New Roman"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Kimemia</w:t>
      </w:r>
      <w:proofErr w:type="spellEnd"/>
      <w:r>
        <w:rPr>
          <w:rFonts w:ascii="Times New Roman" w:hAnsi="Times New Roman" w:cs="Times New Roman"/>
          <w:color w:val="000000"/>
        </w:rPr>
        <w:t>). After the vehicle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stopped in the bush all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passengers were removed from the vehicle one by one and ordered to lie down in the bush. They were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searched again and money removed from their pockets.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three people then abandoned the passengers in the bush and drove away telling the driver that 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find his vehicle at the tarmac road. The driver, complainant in count I was robbed of the motor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vehicle and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3 000. The conductor, Joseph </w:t>
      </w:r>
      <w:proofErr w:type="spellStart"/>
      <w:r>
        <w:rPr>
          <w:rFonts w:ascii="Times New Roman" w:hAnsi="Times New Roman" w:cs="Times New Roman"/>
          <w:color w:val="000000"/>
        </w:rPr>
        <w:t>Irungu</w:t>
      </w:r>
      <w:proofErr w:type="spellEnd"/>
      <w:r>
        <w:rPr>
          <w:rFonts w:ascii="Times New Roman" w:hAnsi="Times New Roman" w:cs="Times New Roman"/>
          <w:color w:val="000000"/>
        </w:rPr>
        <w:t xml:space="preserve">, complainant in count II was robbed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800. Mercy </w:t>
      </w:r>
      <w:proofErr w:type="spellStart"/>
      <w:r>
        <w:rPr>
          <w:rFonts w:ascii="Times New Roman" w:hAnsi="Times New Roman" w:cs="Times New Roman"/>
          <w:color w:val="000000"/>
        </w:rPr>
        <w:t>Njeri</w:t>
      </w:r>
      <w:proofErr w:type="spellEnd"/>
      <w:r>
        <w:rPr>
          <w:rFonts w:ascii="Times New Roman" w:hAnsi="Times New Roman" w:cs="Times New Roman"/>
          <w:color w:val="000000"/>
        </w:rPr>
        <w:t xml:space="preserve"> (PW2), complainant in count III was robbed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3 000 a bag and a radio, Beatrice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Muraguri</w:t>
      </w:r>
      <w:proofErr w:type="spellEnd"/>
      <w:r>
        <w:rPr>
          <w:rFonts w:ascii="Times New Roman" w:hAnsi="Times New Roman" w:cs="Times New Roman"/>
          <w:color w:val="000000"/>
        </w:rPr>
        <w:t xml:space="preserve"> (PW5, complainant in count IV was robbed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500 and Amos </w:t>
      </w:r>
      <w:proofErr w:type="spellStart"/>
      <w:r>
        <w:rPr>
          <w:rFonts w:ascii="Times New Roman" w:hAnsi="Times New Roman" w:cs="Times New Roman"/>
          <w:color w:val="000000"/>
        </w:rPr>
        <w:t>Muriuki</w:t>
      </w:r>
      <w:proofErr w:type="spellEnd"/>
      <w:r>
        <w:rPr>
          <w:rFonts w:ascii="Times New Roman" w:hAnsi="Times New Roman" w:cs="Times New Roman"/>
          <w:color w:val="000000"/>
        </w:rPr>
        <w:t xml:space="preserve"> (PW3)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complainant in count V was robbed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2 000 and a wrist watch.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Meanwhile a report of the robbery was made on radio call to </w:t>
      </w:r>
      <w:proofErr w:type="spellStart"/>
      <w:r>
        <w:rPr>
          <w:rFonts w:ascii="Times New Roman" w:hAnsi="Times New Roman" w:cs="Times New Roman"/>
          <w:color w:val="000000"/>
        </w:rPr>
        <w:t>Sagana</w:t>
      </w:r>
      <w:proofErr w:type="spellEnd"/>
      <w:r>
        <w:rPr>
          <w:rFonts w:ascii="Times New Roman" w:hAnsi="Times New Roman" w:cs="Times New Roman"/>
          <w:color w:val="000000"/>
        </w:rPr>
        <w:t xml:space="preserve"> Police Station and PC Leonard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Okello</w:t>
      </w:r>
      <w:proofErr w:type="spellEnd"/>
      <w:r>
        <w:rPr>
          <w:rFonts w:ascii="Times New Roman" w:hAnsi="Times New Roman" w:cs="Times New Roman"/>
          <w:color w:val="000000"/>
        </w:rPr>
        <w:t xml:space="preserve"> (PW7) and </w:t>
      </w:r>
      <w:r>
        <w:rPr>
          <w:rFonts w:ascii="Times New Roman" w:hAnsi="Times New Roman" w:cs="Times New Roman"/>
          <w:color w:val="000000"/>
        </w:rPr>
        <w:lastRenderedPageBreak/>
        <w:t xml:space="preserve">other police officers went to </w:t>
      </w:r>
      <w:proofErr w:type="spellStart"/>
      <w:r>
        <w:rPr>
          <w:rFonts w:ascii="Times New Roman" w:hAnsi="Times New Roman" w:cs="Times New Roman"/>
          <w:color w:val="000000"/>
        </w:rPr>
        <w:t>Kambiti</w:t>
      </w:r>
      <w:proofErr w:type="spellEnd"/>
      <w:r>
        <w:rPr>
          <w:rFonts w:ascii="Times New Roman" w:hAnsi="Times New Roman" w:cs="Times New Roman"/>
          <w:color w:val="000000"/>
        </w:rPr>
        <w:t xml:space="preserve"> on </w:t>
      </w:r>
      <w:proofErr w:type="spellStart"/>
      <w:r>
        <w:rPr>
          <w:rFonts w:ascii="Times New Roman" w:hAnsi="Times New Roman" w:cs="Times New Roman"/>
          <w:color w:val="000000"/>
        </w:rPr>
        <w:t>Makutano</w:t>
      </w:r>
      <w:proofErr w:type="spellEnd"/>
      <w:r>
        <w:rPr>
          <w:rFonts w:ascii="Times New Roman" w:hAnsi="Times New Roman" w:cs="Times New Roman"/>
          <w:color w:val="000000"/>
        </w:rPr>
        <w:t>/Nairobi highway, a short distance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</w:t>
      </w:r>
      <w:proofErr w:type="spellStart"/>
      <w:r>
        <w:rPr>
          <w:rFonts w:ascii="Times New Roman" w:hAnsi="Times New Roman" w:cs="Times New Roman"/>
          <w:color w:val="000000"/>
        </w:rPr>
        <w:t>Makutano</w:t>
      </w:r>
      <w:proofErr w:type="spellEnd"/>
      <w:r>
        <w:rPr>
          <w:rFonts w:ascii="Times New Roman" w:hAnsi="Times New Roman" w:cs="Times New Roman"/>
          <w:color w:val="000000"/>
        </w:rPr>
        <w:t>. They found the stolen vehicle parked beside the road. There were three suspects being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beaten by the members of public, that is, the two Appellants and </w:t>
      </w:r>
      <w:proofErr w:type="spellStart"/>
      <w:r>
        <w:rPr>
          <w:rFonts w:ascii="Times New Roman" w:hAnsi="Times New Roman" w:cs="Times New Roman"/>
          <w:color w:val="000000"/>
        </w:rPr>
        <w:t>Jotham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>. There were scattered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goods near the vehicle. A toy pistol and a knife were lying near the three suspects. There were about 200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members of the public who wanted to kill the three people but police rescued them. The passengers who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had been robbed also went to </w:t>
      </w:r>
      <w:proofErr w:type="spellStart"/>
      <w:r>
        <w:rPr>
          <w:rFonts w:ascii="Times New Roman" w:hAnsi="Times New Roman" w:cs="Times New Roman"/>
          <w:color w:val="000000"/>
        </w:rPr>
        <w:t>Kambiti</w:t>
      </w:r>
      <w:proofErr w:type="spellEnd"/>
      <w:r>
        <w:rPr>
          <w:rFonts w:ascii="Times New Roman" w:hAnsi="Times New Roman" w:cs="Times New Roman"/>
          <w:color w:val="000000"/>
        </w:rPr>
        <w:t xml:space="preserve"> and identified the three people as the ones who had robbed them.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three suspects were taken to </w:t>
      </w:r>
      <w:proofErr w:type="spellStart"/>
      <w:r>
        <w:rPr>
          <w:rFonts w:ascii="Times New Roman" w:hAnsi="Times New Roman" w:cs="Times New Roman"/>
          <w:color w:val="000000"/>
        </w:rPr>
        <w:t>Muranga</w:t>
      </w:r>
      <w:proofErr w:type="spellEnd"/>
      <w:r>
        <w:rPr>
          <w:rFonts w:ascii="Times New Roman" w:hAnsi="Times New Roman" w:cs="Times New Roman"/>
          <w:color w:val="000000"/>
        </w:rPr>
        <w:t xml:space="preserve"> District Hospital but </w:t>
      </w:r>
      <w:proofErr w:type="spellStart"/>
      <w:r>
        <w:rPr>
          <w:rFonts w:ascii="Times New Roman" w:hAnsi="Times New Roman" w:cs="Times New Roman"/>
          <w:color w:val="000000"/>
        </w:rPr>
        <w:t>Jotham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 died on the way to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hospital. On 30 December 1999, John </w:t>
      </w:r>
      <w:proofErr w:type="spellStart"/>
      <w:r>
        <w:rPr>
          <w:rFonts w:ascii="Times New Roman" w:hAnsi="Times New Roman" w:cs="Times New Roman"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Kimemia</w:t>
      </w:r>
      <w:proofErr w:type="spellEnd"/>
      <w:r>
        <w:rPr>
          <w:rFonts w:ascii="Times New Roman" w:hAnsi="Times New Roman" w:cs="Times New Roman"/>
          <w:color w:val="000000"/>
        </w:rPr>
        <w:t xml:space="preserve"> (First Appellant) made a statement under Inquiry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IP Jacinta </w:t>
      </w:r>
      <w:proofErr w:type="spellStart"/>
      <w:r>
        <w:rPr>
          <w:rFonts w:ascii="Times New Roman" w:hAnsi="Times New Roman" w:cs="Times New Roman"/>
          <w:color w:val="000000"/>
        </w:rPr>
        <w:t>Wangechi</w:t>
      </w:r>
      <w:proofErr w:type="spellEnd"/>
      <w:r>
        <w:rPr>
          <w:rFonts w:ascii="Times New Roman" w:hAnsi="Times New Roman" w:cs="Times New Roman"/>
          <w:color w:val="000000"/>
        </w:rPr>
        <w:t xml:space="preserve"> (PW9). On the same day, Peter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Ndungu</w:t>
      </w:r>
      <w:proofErr w:type="spellEnd"/>
      <w:r>
        <w:rPr>
          <w:rFonts w:ascii="Times New Roman" w:hAnsi="Times New Roman" w:cs="Times New Roman"/>
          <w:color w:val="000000"/>
        </w:rPr>
        <w:t xml:space="preserve"> (Second Appellant) made a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statement under Inquiry to IP </w:t>
      </w:r>
      <w:proofErr w:type="spellStart"/>
      <w:r>
        <w:rPr>
          <w:rFonts w:ascii="Times New Roman" w:hAnsi="Times New Roman" w:cs="Times New Roman"/>
          <w:color w:val="000000"/>
        </w:rPr>
        <w:t>Meshak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Musyoka</w:t>
      </w:r>
      <w:proofErr w:type="spellEnd"/>
      <w:r>
        <w:rPr>
          <w:rFonts w:ascii="Times New Roman" w:hAnsi="Times New Roman" w:cs="Times New Roman"/>
          <w:color w:val="000000"/>
        </w:rPr>
        <w:t xml:space="preserve"> (PW8).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First Appellant, John </w:t>
      </w:r>
      <w:proofErr w:type="spellStart"/>
      <w:r>
        <w:rPr>
          <w:rFonts w:ascii="Times New Roman" w:hAnsi="Times New Roman" w:cs="Times New Roman"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Kimemia</w:t>
      </w:r>
      <w:proofErr w:type="spellEnd"/>
      <w:r>
        <w:rPr>
          <w:rFonts w:ascii="Times New Roman" w:hAnsi="Times New Roman" w:cs="Times New Roman"/>
          <w:color w:val="000000"/>
        </w:rPr>
        <w:t xml:space="preserve"> gave sworn evidence at the trial. He testified that he was a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hawker and was travelling in the same motor vehicle as the complainants from Nairobi to </w:t>
      </w:r>
      <w:proofErr w:type="spellStart"/>
      <w:r>
        <w:rPr>
          <w:rFonts w:ascii="Times New Roman" w:hAnsi="Times New Roman" w:cs="Times New Roman"/>
          <w:color w:val="000000"/>
        </w:rPr>
        <w:t>Sagana</w:t>
      </w:r>
      <w:proofErr w:type="spellEnd"/>
      <w:r>
        <w:rPr>
          <w:rFonts w:ascii="Times New Roman" w:hAnsi="Times New Roman" w:cs="Times New Roman"/>
          <w:color w:val="000000"/>
        </w:rPr>
        <w:t xml:space="preserve"> to sell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some goods; that he was also a victim of the robbery and was robbed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6 000 and some goods; that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he alighted in the bush as other passengers, the vehicle drove off but stopped after travelling for a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short distance and the robbers fled and that as he was looking for the way back to the tarmac road he met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group of people who suspected that he was a robber and beat him unconscious.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Similarly, Peter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Ndungu</w:t>
      </w:r>
      <w:proofErr w:type="spellEnd"/>
      <w:r>
        <w:rPr>
          <w:rFonts w:ascii="Times New Roman" w:hAnsi="Times New Roman" w:cs="Times New Roman"/>
          <w:color w:val="000000"/>
        </w:rPr>
        <w:t xml:space="preserve"> (Second Appellant) gave sworn evidence at the trial. According to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evidence, he was also a passenger in the same vehicle and was seated at the rear with three other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people; he was also robbed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2 800 and a wrist watch; the vehicle drove off before he and three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other passengers alighted; the vehicle was driven back to the tarmac road and then towards Nairobi for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about one </w:t>
      </w:r>
      <w:proofErr w:type="spellStart"/>
      <w:r>
        <w:rPr>
          <w:rFonts w:ascii="Times New Roman" w:hAnsi="Times New Roman" w:cs="Times New Roman"/>
          <w:color w:val="000000"/>
        </w:rPr>
        <w:t>Kilometre</w:t>
      </w:r>
      <w:proofErr w:type="spellEnd"/>
      <w:r>
        <w:rPr>
          <w:rFonts w:ascii="Times New Roman" w:hAnsi="Times New Roman" w:cs="Times New Roman"/>
          <w:color w:val="000000"/>
        </w:rPr>
        <w:t>. This vehicle then turned to a rough road and stopped and the robbers fled. 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further testified that a vehicle came from </w:t>
      </w:r>
      <w:proofErr w:type="spellStart"/>
      <w:r>
        <w:rPr>
          <w:rFonts w:ascii="Times New Roman" w:hAnsi="Times New Roman" w:cs="Times New Roman"/>
          <w:color w:val="000000"/>
        </w:rPr>
        <w:t>Makutano</w:t>
      </w:r>
      <w:proofErr w:type="spellEnd"/>
      <w:r>
        <w:rPr>
          <w:rFonts w:ascii="Times New Roman" w:hAnsi="Times New Roman" w:cs="Times New Roman"/>
          <w:color w:val="000000"/>
        </w:rPr>
        <w:t xml:space="preserve"> with the passengers who had been robbed and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passengers alleged that he was one of the robbers, that he was beaten; that he saw some other suspects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 had been seriously beaten lying on the ground but did not identify any and that on 30 August 1999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tortured to sign a statement.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Appellants complain 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Mahan</w:t>
      </w:r>
      <w:r>
        <w:rPr>
          <w:rFonts w:ascii="Times New Roman" w:hAnsi="Times New Roman" w:cs="Times New Roman"/>
          <w:color w:val="000000"/>
        </w:rPr>
        <w:t>, learned counsel for the Appellants contended, that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ingredients of the charge of a capital robbery under section 296(2) of the Penal Code was not proved. 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particularly relied on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Oluoch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[1985] KLR 549 at 556 where this Court said at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paragraphs 10-15:</w:t>
      </w:r>
      <w:r w:rsidR="00D436D7">
        <w:rPr>
          <w:rFonts w:ascii="Times New Roman" w:hAnsi="Times New Roman" w:cs="Times New Roman"/>
          <w:color w:val="00008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“Under section 296(2) of the Penal Code robbery with violence is committed in any of the following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circumstances.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offender is armed with any dangerous or offensive weapon or instrument; or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offender is in company with one or more other person or persons; or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3. A t or immediately before or immediately after the time of the robbery the offender wounds, beats,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strikes or uses other personal violence to any person.”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Those three elements of the offence of capital robbery are lifted from the provisions of section 296(2) of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Penal Code. It is clear from the wording of section 296(2) of the Penal Code that the offence is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proved if prosecution proves any of the three elements which constitute the charge of capital robbery.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particulars of each of the five counts of capital robbery stated that the Appellants: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“jointly with others not before the court, while armed with knives and [a] toy pistol robbed ... and or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immediately before or immediately after the time of such robbery used actual violence to ...”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Mahan </w:t>
      </w:r>
      <w:r>
        <w:rPr>
          <w:rFonts w:ascii="Times New Roman" w:hAnsi="Times New Roman" w:cs="Times New Roman"/>
          <w:color w:val="000000"/>
        </w:rPr>
        <w:t>submitted that a toy pistol is not a firearm and is therefore not a dangerous or offensive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weapon. The particulars of each of the five counts of capital robbery do not state that the knives and toy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pistol are dangerous or offensive weapons.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phrase “dangerous or offensive weapon” is not defined in section 296 of the Penal Code or in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 the interpretation section of the Penal Code. Section 89(1) of the Penal Code creates the offence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possession of a firearm or other “offensive weapon” </w:t>
      </w:r>
      <w:proofErr w:type="spellStart"/>
      <w:r>
        <w:rPr>
          <w:rFonts w:ascii="Times New Roman" w:hAnsi="Times New Roman" w:cs="Times New Roman"/>
          <w:color w:val="000000"/>
        </w:rPr>
        <w:t>etc</w:t>
      </w:r>
      <w:proofErr w:type="spellEnd"/>
      <w:r>
        <w:rPr>
          <w:rFonts w:ascii="Times New Roman" w:hAnsi="Times New Roman" w:cs="Times New Roman"/>
          <w:color w:val="000000"/>
        </w:rPr>
        <w:t xml:space="preserve"> and section 89(4) of the Penal Code defines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“offensive weapon” for purposes of section 89 as meaning: “any article made or adapted for use for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causing injury to the person or intended by the person having it in his possession or under his control for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use.”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>[1973] EA 373 the High Court in dealing with the question whether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panga</w:t>
      </w:r>
      <w:proofErr w:type="spellEnd"/>
      <w:r>
        <w:rPr>
          <w:rFonts w:ascii="Times New Roman" w:hAnsi="Times New Roman" w:cs="Times New Roman"/>
          <w:color w:val="000000"/>
        </w:rPr>
        <w:t>, an iron bar, a wheel spanner, a king shaft, screw driver, a stone and a chisel were “dangerous or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offensive weapon” for the purposes of the offence of preparation to commit a felony under section 308(1)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Penal Code held at page 375F: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“In our view “dangerous or offensive weapons” means any articles made or adopted for use for causing injury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the person such as a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cosh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knuckleduster or revolver or any article intended, by the persons found with them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use in causing injury to the person.”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High Court followed that interpretation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Muthiori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[1981] KLR 46 at 473 paragraphs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1-5.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our view the words “dangerous or offensive weapon” section 296(2) of the Penal Code bear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same meaning as section 89(4) of the Penal Code and as construed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Mwaura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</w:t>
      </w:r>
      <w:r w:rsidR="00D436D7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Republic </w:t>
      </w:r>
      <w:r>
        <w:rPr>
          <w:rFonts w:ascii="Times New Roman" w:hAnsi="Times New Roman" w:cs="Times New Roman"/>
          <w:color w:val="000000"/>
        </w:rPr>
        <w:t xml:space="preserve">(supra) for </w:t>
      </w:r>
      <w:r>
        <w:rPr>
          <w:rFonts w:ascii="Times New Roman" w:hAnsi="Times New Roman" w:cs="Times New Roman"/>
          <w:color w:val="000000"/>
        </w:rPr>
        <w:lastRenderedPageBreak/>
        <w:t>the purposes of section 308(1) of the Penal Code.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cannot be any doubt that although a knife is not made or adapted for use for causing injury to a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person, it would nevertheless be a dangerous or offensive weapon for purposes of section 296(2) of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Penal Code if the robbers in wielding it in the cause of robbery intend to use it for causing injury to any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person. We are satisfied that the knives which the robberies had in this case were intended to cause injury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passengers and are therefore dangerous and offensive weapons.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 cannot say so with the same certainty in respect of the toy gun. The definition of the word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“firearm” in section 2 of the Firearms Act does not seem to include a toy pistol. The essence of a firearm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that the weapon is capable of discharging any shot, bullet or other missile and is also capable of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causing death, injury, maiming or any other bodily harm. However, under paragraph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 of the definition,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firearm includes any weapon or other device or apparatus which the minister by order published in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Gazette specifies to be a firearm for the purposes of the Firearms Act.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 are not certain whether a toy gun has been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 xml:space="preserve"> as a firearm. We did not get any assistance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learned state counsel on this subject. If a toy gun is </w:t>
      </w:r>
      <w:proofErr w:type="spellStart"/>
      <w:r>
        <w:rPr>
          <w:rFonts w:ascii="Times New Roman" w:hAnsi="Times New Roman" w:cs="Times New Roman"/>
          <w:color w:val="000000"/>
        </w:rPr>
        <w:t>gazetted</w:t>
      </w:r>
      <w:proofErr w:type="spellEnd"/>
      <w:r>
        <w:rPr>
          <w:rFonts w:ascii="Times New Roman" w:hAnsi="Times New Roman" w:cs="Times New Roman"/>
          <w:color w:val="000000"/>
        </w:rPr>
        <w:t xml:space="preserve"> as firearm, under the Firearms Act,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then in our opinion, it would be considered as a dangerous of offensive weapon for purposes of section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296(2) of the Penal Code.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was satisfied that the particulars of the charge were proved mainly because: “The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hijack was carried out by three people.”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element is sufficient to constitute the offence of capital robbery.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Although the particulars of the changes were not correctly framed and were in fact overloaded,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charges did disclose offences of capital robbery as they stated that the offences were committed by more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than one person and, alternatively, the offenders were armed with knives which are dangerous and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offensive weapons. The Appellants were represented by a counsel in the superior court who did not raise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any objection to the charges throughout the trial. We are not satisfied that the defect in the charges has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occasioned a failure of justice and, in our view, any defects in the charges is curable under section 382 of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Criminal Procedure Code.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question of the identification of the Appellants by the witnesses and the evidential value of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statements under inquiry, the trial Magistrate after evaluating the evidence concluded thus: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have perused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any relevant material particulars. The accused would want the court to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believe that they were passengers in the motor vehicle and that they were also robbed and thus hijacked to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Kambiti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by the gangsters. I disbelieve this evidence. The evidence is clearly an afterthought. The two accused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were sufficiently identified as the robbers who perpetrated the robbery on the material time. They adopted the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defence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as an afterthought more so considering that they both gave statements under inquiry in which they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admitted their participation in the commission of the offence.”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On its part, the superior court found in part: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“Second ground was that there was no witness who was able to identify the Appellants during the commission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the offence. The prosecution witnesses identified the Appellants. We however, note that none of the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villagers testified as to how the Appellants were caught and beaten. This gap was however filled up by the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Appellants’ own detailed statements to the police which was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produced in evidence without any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objection. The statements clearly show how the plan to hijack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matatu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 hatched. The role of each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participant and how they were set upon by the villagers. We have evaluated the evidence on record and are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satisfied that the Appellants’ own confessions which were not retracted were further corroborated by the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evidence of the prosecution witnesses ...”</w:t>
      </w:r>
      <w:r w:rsidR="00D436D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Thus there were concurrent findings of fact by the two courts below that the Appellants were not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passengers in the motor vehicle, that they were sufficiently identified by the witnesses as the robbers, that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were not trapped in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vehicle and hijacked to </w:t>
      </w:r>
      <w:proofErr w:type="spellStart"/>
      <w:r>
        <w:rPr>
          <w:rFonts w:ascii="Times New Roman" w:hAnsi="Times New Roman" w:cs="Times New Roman"/>
          <w:color w:val="000000"/>
        </w:rPr>
        <w:t>Kambiti</w:t>
      </w:r>
      <w:proofErr w:type="spellEnd"/>
      <w:r>
        <w:rPr>
          <w:rFonts w:ascii="Times New Roman" w:hAnsi="Times New Roman" w:cs="Times New Roman"/>
          <w:color w:val="000000"/>
        </w:rPr>
        <w:t xml:space="preserve"> and that each gave a detailed statement under inquiry admitting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of the offence which statements were produced as evidence without any objection.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second appeal is confined to points of law and this Court cannot upset those findings of fact unless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satisfied that the findings were based in </w:t>
      </w:r>
      <w:proofErr w:type="spellStart"/>
      <w:r>
        <w:rPr>
          <w:rFonts w:ascii="Times New Roman" w:hAnsi="Times New Roman" w:cs="Times New Roman"/>
          <w:color w:val="000000"/>
        </w:rPr>
        <w:t>misdirections</w:t>
      </w:r>
      <w:proofErr w:type="spellEnd"/>
      <w:r>
        <w:rPr>
          <w:rFonts w:ascii="Times New Roman" w:hAnsi="Times New Roman" w:cs="Times New Roman"/>
          <w:color w:val="000000"/>
        </w:rPr>
        <w:t xml:space="preserve"> of such a nature that it is reasonably probable that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without them, the Appellants could not have been convicted. (See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Kiringo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[1982] KLR 213).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Appellants were particularly identified by three witnesses – Joseph </w:t>
      </w:r>
      <w:proofErr w:type="spellStart"/>
      <w:r>
        <w:rPr>
          <w:rFonts w:ascii="Times New Roman" w:hAnsi="Times New Roman" w:cs="Times New Roman"/>
          <w:color w:val="000000"/>
        </w:rPr>
        <w:t>Weru</w:t>
      </w:r>
      <w:proofErr w:type="spellEnd"/>
      <w:r>
        <w:rPr>
          <w:rFonts w:ascii="Times New Roman" w:hAnsi="Times New Roman" w:cs="Times New Roman"/>
          <w:color w:val="000000"/>
        </w:rPr>
        <w:t xml:space="preserve"> (PW1), Mercy </w:t>
      </w:r>
      <w:proofErr w:type="spellStart"/>
      <w:r>
        <w:rPr>
          <w:rFonts w:ascii="Times New Roman" w:hAnsi="Times New Roman" w:cs="Times New Roman"/>
          <w:color w:val="000000"/>
        </w:rPr>
        <w:t>Njeri</w:t>
      </w:r>
      <w:proofErr w:type="spellEnd"/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(PW2) and Joseph </w:t>
      </w:r>
      <w:proofErr w:type="spellStart"/>
      <w:r>
        <w:rPr>
          <w:rFonts w:ascii="Times New Roman" w:hAnsi="Times New Roman" w:cs="Times New Roman"/>
          <w:color w:val="000000"/>
        </w:rPr>
        <w:t>Irungu</w:t>
      </w:r>
      <w:proofErr w:type="spellEnd"/>
      <w:r>
        <w:rPr>
          <w:rFonts w:ascii="Times New Roman" w:hAnsi="Times New Roman" w:cs="Times New Roman"/>
          <w:color w:val="000000"/>
        </w:rPr>
        <w:t xml:space="preserve"> (PW6). Peter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Ndung’u</w:t>
      </w:r>
      <w:proofErr w:type="spellEnd"/>
      <w:r>
        <w:rPr>
          <w:rFonts w:ascii="Times New Roman" w:hAnsi="Times New Roman" w:cs="Times New Roman"/>
          <w:color w:val="000000"/>
        </w:rPr>
        <w:t xml:space="preserve"> (Second Appellant) was in the front seat in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drivers</w:t>
      </w:r>
      <w:proofErr w:type="gramEnd"/>
      <w:r>
        <w:rPr>
          <w:rFonts w:ascii="Times New Roman" w:hAnsi="Times New Roman" w:cs="Times New Roman"/>
          <w:color w:val="000000"/>
        </w:rPr>
        <w:t xml:space="preserve"> cabin. He was seated close to PW1 all the way from Nairobi. It was during broad daylight. John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Kimemia</w:t>
      </w:r>
      <w:proofErr w:type="spellEnd"/>
      <w:r>
        <w:rPr>
          <w:rFonts w:ascii="Times New Roman" w:hAnsi="Times New Roman" w:cs="Times New Roman"/>
          <w:color w:val="000000"/>
        </w:rPr>
        <w:t xml:space="preserve"> (First Appellant) was seated next to Mercy </w:t>
      </w:r>
      <w:proofErr w:type="spellStart"/>
      <w:r>
        <w:rPr>
          <w:rFonts w:ascii="Times New Roman" w:hAnsi="Times New Roman" w:cs="Times New Roman"/>
          <w:color w:val="000000"/>
        </w:rPr>
        <w:t>Njeri</w:t>
      </w:r>
      <w:proofErr w:type="spellEnd"/>
      <w:r>
        <w:rPr>
          <w:rFonts w:ascii="Times New Roman" w:hAnsi="Times New Roman" w:cs="Times New Roman"/>
          <w:color w:val="000000"/>
        </w:rPr>
        <w:t xml:space="preserve"> and Joseph </w:t>
      </w:r>
      <w:proofErr w:type="spellStart"/>
      <w:r>
        <w:rPr>
          <w:rFonts w:ascii="Times New Roman" w:hAnsi="Times New Roman" w:cs="Times New Roman"/>
          <w:color w:val="000000"/>
        </w:rPr>
        <w:t>Irungu</w:t>
      </w:r>
      <w:proofErr w:type="spellEnd"/>
      <w:r>
        <w:rPr>
          <w:rFonts w:ascii="Times New Roman" w:hAnsi="Times New Roman" w:cs="Times New Roman"/>
          <w:color w:val="000000"/>
        </w:rPr>
        <w:t>. He was seated next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two witnesses all the way from Nairobi. All the three witnesses were alert. The two Appellants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agreed in their evidence that the passengers were in fact robbed of their properties. Their account of how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robbery was committed is not different from the accounts given by the witnesses. In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circumstances, the findings of the two courts below that the Appellants were sufficiently identified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faulted.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respective statements under inquiry were admitted in evidence at the trial without any objection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</w:t>
      </w:r>
      <w:r>
        <w:rPr>
          <w:rFonts w:ascii="Times New Roman" w:hAnsi="Times New Roman" w:cs="Times New Roman"/>
          <w:color w:val="000000"/>
        </w:rPr>
        <w:lastRenderedPageBreak/>
        <w:t>Appellants. In fact, the Appellants’ counsel specifically told the trial Magistrate that he had no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objection to the production of each of the two statements. Both IP </w:t>
      </w:r>
      <w:proofErr w:type="spellStart"/>
      <w:r>
        <w:rPr>
          <w:rFonts w:ascii="Times New Roman" w:hAnsi="Times New Roman" w:cs="Times New Roman"/>
          <w:color w:val="000000"/>
        </w:rPr>
        <w:t>Meshak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Musyoka</w:t>
      </w:r>
      <w:proofErr w:type="spellEnd"/>
      <w:r>
        <w:rPr>
          <w:rFonts w:ascii="Times New Roman" w:hAnsi="Times New Roman" w:cs="Times New Roman"/>
          <w:color w:val="000000"/>
        </w:rPr>
        <w:t xml:space="preserve"> (PW8) and IP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Jacinta </w:t>
      </w:r>
      <w:proofErr w:type="spellStart"/>
      <w:r>
        <w:rPr>
          <w:rFonts w:ascii="Times New Roman" w:hAnsi="Times New Roman" w:cs="Times New Roman"/>
          <w:color w:val="000000"/>
        </w:rPr>
        <w:t>Wangechi</w:t>
      </w:r>
      <w:proofErr w:type="spellEnd"/>
      <w:r>
        <w:rPr>
          <w:rFonts w:ascii="Times New Roman" w:hAnsi="Times New Roman" w:cs="Times New Roman"/>
          <w:color w:val="000000"/>
        </w:rPr>
        <w:t xml:space="preserve"> (PW9) said that the respective statements were voluntary. John </w:t>
      </w:r>
      <w:proofErr w:type="spellStart"/>
      <w:r>
        <w:rPr>
          <w:rFonts w:ascii="Times New Roman" w:hAnsi="Times New Roman" w:cs="Times New Roman"/>
          <w:color w:val="000000"/>
        </w:rPr>
        <w:t>Maina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Kimemia</w:t>
      </w:r>
      <w:proofErr w:type="spellEnd"/>
      <w:r>
        <w:rPr>
          <w:rFonts w:ascii="Times New Roman" w:hAnsi="Times New Roman" w:cs="Times New Roman"/>
          <w:color w:val="000000"/>
        </w:rPr>
        <w:t xml:space="preserve"> (First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Appellant) did not in his evidence say that the statement was not voluntary and all what Peter </w:t>
      </w:r>
      <w:proofErr w:type="spellStart"/>
      <w:r>
        <w:rPr>
          <w:rFonts w:ascii="Times New Roman" w:hAnsi="Times New Roman" w:cs="Times New Roman"/>
          <w:color w:val="000000"/>
        </w:rPr>
        <w:t>Kamau</w:t>
      </w:r>
      <w:proofErr w:type="spellEnd"/>
      <w:r w:rsidR="00D436D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Ndung’u</w:t>
      </w:r>
      <w:proofErr w:type="spellEnd"/>
      <w:r>
        <w:rPr>
          <w:rFonts w:ascii="Times New Roman" w:hAnsi="Times New Roman" w:cs="Times New Roman"/>
          <w:color w:val="000000"/>
        </w:rPr>
        <w:t xml:space="preserve"> (Second Appellant) said in his evidence is: “On 30 August 1999 I was tortured to sign a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statement.”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bare statement is not a sufficient repudiation or retraction of the statement. The Second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should have objected to the admission of the statement as evidence at the trial so that the trial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Magistrate could have had an opportunity to inquire into the circumstances in which the statement was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recorded before it was admitted as evidence.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Lastly, the complaint that the superior court as the first appellate court failed to perform its duty to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reconsider the evidence, evaluate it and make its own conclusion is not supported by the judgment of the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superior court. The passage of the judgment of the superior court that we have set out above shows that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superior court reconsidered the evidence of identification, considered the deficiency in the evidence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came to its own conclusions, similarly, the superior court dealt with the statements under inquiry,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analysed</w:t>
      </w:r>
      <w:proofErr w:type="spellEnd"/>
      <w:r>
        <w:rPr>
          <w:rFonts w:ascii="Times New Roman" w:hAnsi="Times New Roman" w:cs="Times New Roman"/>
          <w:color w:val="000000"/>
        </w:rPr>
        <w:t xml:space="preserve"> them and found them truthful.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these reasons, we are satisfied that the Appellants were properly convicted and accordingly, we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 this appeal.</w:t>
      </w:r>
      <w:r w:rsidR="00D43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Appellants:</w:t>
      </w:r>
    </w:p>
    <w:p w:rsidR="00BC1AA1" w:rsidRDefault="00BC1AA1" w:rsidP="00BC1A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KH Mahan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Bali-Sharma &amp; Bali-Sharma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Adv</w:t>
      </w:r>
      <w:proofErr w:type="spellEnd"/>
    </w:p>
    <w:p w:rsidR="0021070D" w:rsidRDefault="00BC1AA1" w:rsidP="00BC1AA1">
      <w:r>
        <w:rPr>
          <w:rFonts w:ascii="Times New Roman" w:hAnsi="Times New Roman" w:cs="Times New Roman"/>
          <w:color w:val="000000"/>
        </w:rPr>
        <w:t>For the Respondent:</w:t>
      </w:r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A1"/>
    <w:rsid w:val="0021070D"/>
    <w:rsid w:val="00BC1AA1"/>
    <w:rsid w:val="00D4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7F12D-C480-45B9-BDE1-B225E7D8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2547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2018-07-04T14:10:00Z</dcterms:created>
  <dcterms:modified xsi:type="dcterms:W3CDTF">2018-07-13T04:17:00Z</dcterms:modified>
</cp:coreProperties>
</file>