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91" w:rsidRDefault="00032591" w:rsidP="00032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Kiyengo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032591" w:rsidRDefault="00032591" w:rsidP="00032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032591" w:rsidRDefault="00032591" w:rsidP="00032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April 2005</w:t>
      </w:r>
    </w:p>
    <w:p w:rsidR="00032591" w:rsidRDefault="00032591" w:rsidP="00032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35/03</w:t>
      </w:r>
    </w:p>
    <w:p w:rsidR="00032591" w:rsidRDefault="00032591" w:rsidP="00032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032591" w:rsidRDefault="00032591" w:rsidP="00032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32591" w:rsidRDefault="00032591" w:rsidP="00032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Criminal law – Murder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Intoxication – Burden of proof – Whether the prosecution had</w:t>
      </w:r>
    </w:p>
    <w:p w:rsidR="00032591" w:rsidRDefault="00032591" w:rsidP="00032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proved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beyond reasonable doubt that the appellant had the requisite intent – Section 13 – Penal Code</w:t>
      </w:r>
    </w:p>
    <w:p w:rsidR="00032591" w:rsidRDefault="00032591" w:rsidP="00032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Act.</w:t>
      </w:r>
    </w:p>
    <w:p w:rsidR="00032591" w:rsidRDefault="005B4C31" w:rsidP="005B4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32591" w:rsidRDefault="00032591" w:rsidP="005B4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Tsekooko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Karokora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Mulenga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Kanyeihamba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JJSC: </w:t>
      </w:r>
      <w:proofErr w:type="spellStart"/>
      <w:r>
        <w:rPr>
          <w:rFonts w:ascii="Times New Roman" w:hAnsi="Times New Roman" w:cs="Times New Roman"/>
          <w:color w:val="000000"/>
        </w:rPr>
        <w:t>Kiyengo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Zaverio</w:t>
      </w:r>
      <w:proofErr w:type="spellEnd"/>
      <w:r>
        <w:rPr>
          <w:rFonts w:ascii="Times New Roman" w:hAnsi="Times New Roman" w:cs="Times New Roman"/>
          <w:color w:val="000000"/>
        </w:rPr>
        <w:t>, the appellant, was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convicted by the High Court of Uganda, (</w:t>
      </w:r>
      <w:proofErr w:type="spellStart"/>
      <w:r>
        <w:rPr>
          <w:rFonts w:ascii="Times New Roman" w:hAnsi="Times New Roman" w:cs="Times New Roman"/>
          <w:color w:val="000000"/>
        </w:rPr>
        <w:t>Mukiibi</w:t>
      </w:r>
      <w:proofErr w:type="spellEnd"/>
      <w:r>
        <w:rPr>
          <w:rFonts w:ascii="Times New Roman" w:hAnsi="Times New Roman" w:cs="Times New Roman"/>
          <w:color w:val="000000"/>
        </w:rPr>
        <w:t xml:space="preserve"> J) sitting at Masindi, for the murder of his father,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Nsereko</w:t>
      </w:r>
      <w:proofErr w:type="spellEnd"/>
      <w:r>
        <w:rPr>
          <w:rFonts w:ascii="Times New Roman" w:hAnsi="Times New Roman" w:cs="Times New Roman"/>
          <w:color w:val="000000"/>
        </w:rPr>
        <w:t xml:space="preserve"> John </w:t>
      </w:r>
      <w:proofErr w:type="spellStart"/>
      <w:r>
        <w:rPr>
          <w:rFonts w:ascii="Times New Roman" w:hAnsi="Times New Roman" w:cs="Times New Roman"/>
          <w:color w:val="000000"/>
        </w:rPr>
        <w:t>Mawa</w:t>
      </w:r>
      <w:proofErr w:type="spellEnd"/>
      <w:r>
        <w:rPr>
          <w:rFonts w:ascii="Times New Roman" w:hAnsi="Times New Roman" w:cs="Times New Roman"/>
          <w:color w:val="000000"/>
        </w:rPr>
        <w:t>, the deceased, and was sentenced to death. His appeal to the Court of Appeal was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dismissed, hence this second appeal.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upon which the court based the appellant’s conviction is brief. On 20 November 1999,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about 4:00 pm, the deceased visited the appellant’s home. He found the appellant and a </w:t>
      </w:r>
      <w:proofErr w:type="spellStart"/>
      <w:r>
        <w:rPr>
          <w:rFonts w:ascii="Times New Roman" w:hAnsi="Times New Roman" w:cs="Times New Roman"/>
          <w:color w:val="000000"/>
        </w:rPr>
        <w:t>neighbour</w:t>
      </w:r>
      <w:proofErr w:type="spellEnd"/>
      <w:r>
        <w:rPr>
          <w:rFonts w:ascii="Times New Roman" w:hAnsi="Times New Roman" w:cs="Times New Roman"/>
          <w:color w:val="000000"/>
        </w:rPr>
        <w:t>, one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Birungi</w:t>
      </w:r>
      <w:proofErr w:type="spellEnd"/>
      <w:r>
        <w:rPr>
          <w:rFonts w:ascii="Times New Roman" w:hAnsi="Times New Roman" w:cs="Times New Roman"/>
          <w:color w:val="000000"/>
        </w:rPr>
        <w:t xml:space="preserve"> Alex, PW2, seated on a bench outside the appellant’s house, drinking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enguri</w:t>
      </w:r>
      <w:proofErr w:type="spellEnd"/>
      <w:r>
        <w:rPr>
          <w:rFonts w:ascii="Times New Roman" w:hAnsi="Times New Roman" w:cs="Times New Roman"/>
          <w:color w:val="000000"/>
        </w:rPr>
        <w:t>. He joined them.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three continued drinking up to about 7:00 pm when the appellant invited </w:t>
      </w:r>
      <w:proofErr w:type="spellStart"/>
      <w:r>
        <w:rPr>
          <w:rFonts w:ascii="Times New Roman" w:hAnsi="Times New Roman" w:cs="Times New Roman"/>
          <w:color w:val="000000"/>
        </w:rPr>
        <w:t>Birungi</w:t>
      </w:r>
      <w:proofErr w:type="spellEnd"/>
      <w:r>
        <w:rPr>
          <w:rFonts w:ascii="Times New Roman" w:hAnsi="Times New Roman" w:cs="Times New Roman"/>
          <w:color w:val="000000"/>
        </w:rPr>
        <w:t xml:space="preserve"> to the kitchen and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then left him inside with </w:t>
      </w:r>
      <w:proofErr w:type="spellStart"/>
      <w:r>
        <w:rPr>
          <w:rFonts w:ascii="Times New Roman" w:hAnsi="Times New Roman" w:cs="Times New Roman"/>
          <w:color w:val="000000"/>
        </w:rPr>
        <w:t>Byabali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Praxida</w:t>
      </w:r>
      <w:proofErr w:type="spellEnd"/>
      <w:r>
        <w:rPr>
          <w:rFonts w:ascii="Times New Roman" w:hAnsi="Times New Roman" w:cs="Times New Roman"/>
          <w:color w:val="000000"/>
        </w:rPr>
        <w:t xml:space="preserve">, PW3, and Pauline </w:t>
      </w:r>
      <w:proofErr w:type="spellStart"/>
      <w:r>
        <w:rPr>
          <w:rFonts w:ascii="Times New Roman" w:hAnsi="Times New Roman" w:cs="Times New Roman"/>
          <w:color w:val="000000"/>
        </w:rPr>
        <w:t>Zikuza</w:t>
      </w:r>
      <w:proofErr w:type="spellEnd"/>
      <w:r>
        <w:rPr>
          <w:rFonts w:ascii="Times New Roman" w:hAnsi="Times New Roman" w:cs="Times New Roman"/>
          <w:color w:val="000000"/>
        </w:rPr>
        <w:t>, PW4, the appellant’s wife and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daughter respectively. The appellant returned to the deceased who had remained outside sitting on the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bench alone. He then hit the deceased on the head twice, using the back of an axe. The deceased fell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down, and one of his eyes was dislodged from its socket.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Blood flowed from the eye socket and the nose. A post-mortem examination of the deceased’s body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subsequently revealed that the deceased had sustained a crushed eyeball and occipital laceration, leading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internal </w:t>
      </w:r>
      <w:proofErr w:type="spellStart"/>
      <w:r>
        <w:rPr>
          <w:rFonts w:ascii="Times New Roman" w:hAnsi="Times New Roman" w:cs="Times New Roman"/>
          <w:color w:val="000000"/>
        </w:rPr>
        <w:t>haemorrhage</w:t>
      </w:r>
      <w:proofErr w:type="spellEnd"/>
      <w:r>
        <w:rPr>
          <w:rFonts w:ascii="Times New Roman" w:hAnsi="Times New Roman" w:cs="Times New Roman"/>
          <w:color w:val="000000"/>
        </w:rPr>
        <w:t xml:space="preserve"> and brain contusion that caused instant death. There was also evidence that,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people came to the scene upon word going round that the deceased had died, the appellant chased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away threatening them with violence.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trial, the case of the fatal injuries was disputed. The prosecution contended that the deceased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sustained the injuries from the two blows inflicted by the appellant, as testified by Pauline </w:t>
      </w:r>
      <w:proofErr w:type="spellStart"/>
      <w:r>
        <w:rPr>
          <w:rFonts w:ascii="Times New Roman" w:hAnsi="Times New Roman" w:cs="Times New Roman"/>
          <w:color w:val="000000"/>
        </w:rPr>
        <w:t>Zikuza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bookmarkStart w:id="0" w:name="_GoBack"/>
      <w:r>
        <w:rPr>
          <w:rFonts w:ascii="Times New Roman" w:hAnsi="Times New Roman" w:cs="Times New Roman"/>
          <w:color w:val="000000"/>
        </w:rPr>
        <w:t>The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bookmarkEnd w:id="0"/>
      <w:r>
        <w:rPr>
          <w:rFonts w:ascii="Times New Roman" w:hAnsi="Times New Roman" w:cs="Times New Roman"/>
          <w:color w:val="000000"/>
        </w:rPr>
        <w:t>appellant on the other hand denied hitting the deceased and testified that the deceased sustained the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injuries from falling off the bench due to drunkenness. After considering the evidence, the trial court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accepted the prosecution case and held that the appellant had hit the deceased as testified by his daughter.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came to the same conclusion after re-evaluating the evidence. In this appeal, the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appellant, quite appropriately in our view, does not seek to challenge that concurrent finding of the two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lower courts. He only seeks to challenge the finding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rea</w:t>
      </w:r>
      <w:r>
        <w:rPr>
          <w:rFonts w:ascii="Times New Roman" w:hAnsi="Times New Roman" w:cs="Times New Roman"/>
          <w:color w:val="000000"/>
        </w:rPr>
        <w:t>. The sole ground of appeal in this Court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that: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learned Justices of Appeal erred in law when in their re-evaluation of the evidence adduced at the trial,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they misdirected themselves on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intoxication.”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Mubiru</w:t>
      </w:r>
      <w:proofErr w:type="spellEnd"/>
      <w:r>
        <w:rPr>
          <w:rFonts w:ascii="Times New Roman" w:hAnsi="Times New Roman" w:cs="Times New Roman"/>
          <w:color w:val="000000"/>
        </w:rPr>
        <w:t xml:space="preserve">, learned Counsel for the appellant,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Court of Appeal for upholding the trial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court’s refusal to avail the appellant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intoxication. He maintained that the ground for the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refusal, namely that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was not raised and had actually been disowned by the appellant and his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counsel, was erroneous. He submitted that the law enjoined the court to consider, and avail to an accused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person, every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disclosed by the evidence before it, and cited </w:t>
      </w:r>
      <w:r>
        <w:rPr>
          <w:rFonts w:ascii="Times New Roman" w:hAnsi="Times New Roman" w:cs="Times New Roman"/>
          <w:i/>
          <w:iCs/>
          <w:color w:val="000000"/>
        </w:rPr>
        <w:t xml:space="preserve">Clifford Patrick v R </w:t>
      </w:r>
      <w:r>
        <w:rPr>
          <w:rFonts w:ascii="Times New Roman" w:hAnsi="Times New Roman" w:cs="Times New Roman"/>
          <w:color w:val="000000"/>
        </w:rPr>
        <w:t>72 Criminal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rule 291, in support of his submission. He maintained that the Court of Appeal had misdirected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itself in this regard. Learned counsel argued that if that court had addressed the proper question, namely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if, in view of the evidence of the appellant’s drinking, he had the necessary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rea</w:t>
      </w:r>
      <w:r>
        <w:rPr>
          <w:rFonts w:ascii="Times New Roman" w:hAnsi="Times New Roman" w:cs="Times New Roman"/>
          <w:color w:val="000000"/>
        </w:rPr>
        <w:t>, it would have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concluded that the prosecution had not proved beyond reasonable doubt that he had. In conclusion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submitted that contrary to the law, the appellant’s conviction was based on the weakness of the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, for failure to plead intoxication, rather than on the strength of the prosecution case. In reply,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5B4C3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Murumba</w:t>
      </w:r>
      <w:proofErr w:type="spellEnd"/>
      <w:r>
        <w:rPr>
          <w:rFonts w:ascii="Times New Roman" w:hAnsi="Times New Roman" w:cs="Times New Roman"/>
          <w:color w:val="000000"/>
        </w:rPr>
        <w:t xml:space="preserve">, the learned Principal State Attorney submitted that the case </w:t>
      </w:r>
      <w:r>
        <w:rPr>
          <w:rFonts w:ascii="Times New Roman" w:hAnsi="Times New Roman" w:cs="Times New Roman"/>
          <w:i/>
          <w:iCs/>
          <w:color w:val="000000"/>
        </w:rPr>
        <w:t xml:space="preserve">of Clifford Patrick v R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distinguishable because, in that case, unlike in the instant case,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had admitted that killing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relied on intoxication to show that the necessary intent was not proved. He stressed that in this case,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expressly denied being drunk.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Court of Appeal, the fifth ground of appeal was that the trial court erred in holding that the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had killed the deceased with malice aforethought despite evidence of intoxication. In its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judgment, </w:t>
      </w:r>
      <w:r>
        <w:rPr>
          <w:rFonts w:ascii="Times New Roman" w:hAnsi="Times New Roman" w:cs="Times New Roman"/>
          <w:color w:val="000000"/>
        </w:rPr>
        <w:lastRenderedPageBreak/>
        <w:t>the Court of Appeal, after observing, rightly in our view, that the court has to avail an accused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person with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available on the evidence before it even if not raised by him, considered at length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intoxication was available to the appellant, in view of the prosecution evidence which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suggested that he was drunk at the material time. In the course of re-evaluating the evidence, however,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Justices of appeal made two observations that have given rise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criticism of misdirection. After noting the prosecution evidence which showed that at the material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the appellant was drunk, they observed: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dilemma in this case is that both the appellant and his counsel at his trial did not only fail to raise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intoxication or drunkenness as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but disowned it.”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end they concluded thus: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“We are, therefore, not persuaded by counsel for the appellant, to avail to the appellant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intoxication under section 13(4) of the Penal Code.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To do so would be tantamount to putting a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into</w:t>
      </w:r>
      <w:r w:rsidR="005B4C3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his mouth.</w:t>
      </w:r>
      <w:r>
        <w:rPr>
          <w:rFonts w:ascii="Times New Roman" w:hAnsi="Times New Roman" w:cs="Times New Roman"/>
          <w:color w:val="000000"/>
          <w:sz w:val="20"/>
          <w:szCs w:val="20"/>
        </w:rPr>
        <w:t>”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Clearly, these observations standing alone would amount to misdirection on the fundamental principle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burden of proof in a criminal trial, remains on the prosecution throughout and, except in special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cases, never shifts to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. The duty of the court to avail to an accused person every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disclosed by evidence before it, even where the accused does not take advantage of it, is founded on that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principle. Strictly, an accused person has no burden to raise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with the exception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insanity. Where, therefore, there is credible evidence establishing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court should not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refrain from availing it to the accused for fear of “putting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in his or her mouth”. If, as contended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learned Counsel for the appellant, these observations were the only basis on which the Court of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rejected the fifth ground of appeal, we would not have hesitated to hold that the misdirection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vitiated the decision to uphold the conviction of murder.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Clifford Patrick v R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which counsel for the appellant sought to rely on, was an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against a conviction for murder in a jury trial. There was no dispute that when the accused killed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victim he was under the influence of drink. The appeal turned on the direction given to the jurors by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on the issue of drunkenness. He had directed the jurors to ask themselves if, at the material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time, the accused person was in such state as to be incapable of forming the intention. The Court of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held this to be misdirection, as the question in issue was not whether the accused person was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incapable or capable of forming the intention, but rather whether by reason of the drink he had taken he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form the intention. On the ground that the jury had not been invited to answer the real question in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issue, the conviction of murder was quashed and a verdict of </w:t>
      </w:r>
      <w:proofErr w:type="spellStart"/>
      <w:r>
        <w:rPr>
          <w:rFonts w:ascii="Times New Roman" w:hAnsi="Times New Roman" w:cs="Times New Roman"/>
          <w:color w:val="000000"/>
        </w:rPr>
        <w:t>manslaugher</w:t>
      </w:r>
      <w:proofErr w:type="spellEnd"/>
      <w:r>
        <w:rPr>
          <w:rFonts w:ascii="Times New Roman" w:hAnsi="Times New Roman" w:cs="Times New Roman"/>
          <w:color w:val="000000"/>
        </w:rPr>
        <w:t xml:space="preserve"> was substituted. In that case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misdirection to the jury had been central to the decision to convict. If the jury had addressed the real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in issue it may well have returned a different verdict. The misdirection in the instant case does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appear to be in a similar central position to the decision to uphold the conviction.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their judgment, the learned Justices of Appeal directed themselves on the law regarding the issue of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intoxication correctly when they said: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“Under section 13 of the Penal Code Act, intoxication is not generally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a criminal charge. That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notwithstanding, it could become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if by reason of intoxication the accused became insane at the time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but this would require a plea . . . of insanity which is not the case here. The appellant . . . disowned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intoxication. He is not covered under that subsection. However, under section 13(4) of the Penal Code,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intoxication may be taken into account for the purposes of determining whether the accused had formed an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intention to kill . . .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accordance with the holding in . . 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Illanda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s/o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Kisigo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R </w:t>
      </w:r>
      <w:r>
        <w:rPr>
          <w:rFonts w:ascii="Times New Roman" w:hAnsi="Times New Roman" w:cs="Times New Roman"/>
          <w:color w:val="000000"/>
          <w:sz w:val="20"/>
          <w:szCs w:val="20"/>
        </w:rPr>
        <w:t>[1960] EA 780, the onus is on the prosecution to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prove beyond reasonable doubt that the appellant’s judgment was not affected by the drink to disable him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forming the necessary intention. . .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test to apply as enunciated . . .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Ssessawao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Uganda </w:t>
      </w:r>
      <w:r>
        <w:rPr>
          <w:rFonts w:ascii="Times New Roman" w:hAnsi="Times New Roman" w:cs="Times New Roman"/>
          <w:color w:val="000000"/>
          <w:sz w:val="20"/>
          <w:szCs w:val="20"/>
        </w:rPr>
        <w:t>[1979] HCB 122, was whether having regard to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 the circumstances, including these relating to drinking, it could safely be said that the prosecution had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proved beyond reasonable doubt that the accused had the requisite intent at the material time. We shall apply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test to this case later.”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Subsequently, they applied the test to the facts and concluded thus: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“Having regard to all the circumstances in this case, including the aforesaid relating to drinking, it could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safely be said that the prosecution had proved beyond reasonable doubt that the appellant had the requisite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intent to kill the deceased at the material time.”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this conclusion, the Court of Appeal was virtually in total agreement with the learned trial Judge who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said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accused’s preparation to remove a possible eye witness and his effort to ensure that he had not been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seen, in my view, show that his act was calculated or pre-conceived . . . I find, as did the assessors, that the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prosecution has proved beyond reasonable doubt that the unlawful act committed by the accused person, and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which caused the death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Nsereko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John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was accompanied by malice aforethought.”</w:t>
      </w:r>
      <w:r w:rsidR="005B4C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need only add that this concurrent finding of fact was amply supported by evidence and it cannot be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assailed. We are satisfied, that the misdirection in the observations of the Court of Appeal, was not the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basis for upholding the appellant’s conviction for murder. The basis was that the prosecution proved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malice aforethought beyond reasonable doubt. In our view, the observations were in effect superfluous.</w:t>
      </w:r>
      <w:r w:rsidR="005B4C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result, we find no merit in this appeal and accordingly, dismiss it.</w:t>
      </w:r>
    </w:p>
    <w:p w:rsidR="00032591" w:rsidRDefault="00032591" w:rsidP="00032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032591" w:rsidRDefault="00032591" w:rsidP="00032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Mubiru</w:t>
      </w:r>
      <w:proofErr w:type="spellEnd"/>
    </w:p>
    <w:p w:rsidR="00032591" w:rsidRDefault="00032591" w:rsidP="00032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80578A" w:rsidRDefault="00032591" w:rsidP="00032591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Murumba</w:t>
      </w:r>
      <w:proofErr w:type="spellEnd"/>
      <w:r>
        <w:rPr>
          <w:rFonts w:ascii="Times New Roman" w:hAnsi="Times New Roman" w:cs="Times New Roman"/>
          <w:color w:val="000000"/>
        </w:rPr>
        <w:t>, Principal State Attorney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91"/>
    <w:rsid w:val="00032591"/>
    <w:rsid w:val="005B4C31"/>
    <w:rsid w:val="008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797ED-1CBF-4CA8-BC1D-7E5CEFA8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2018-07-04T19:12:00Z</dcterms:created>
  <dcterms:modified xsi:type="dcterms:W3CDTF">2018-07-13T06:16:00Z</dcterms:modified>
</cp:coreProperties>
</file>