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Kones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 and others </w:t>
      </w:r>
      <w:r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  <w:t xml:space="preserve">ex parte 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Kimani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wa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Wanyoike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November 2006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94/05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Whether judicial review can oust constitutional provisions.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Electoral laws – Whether nomination of Members of Parliament amounts to an electoral process.</w:t>
      </w:r>
    </w:p>
    <w:p w:rsidR="00196909" w:rsidRDefault="007907CC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196909">
        <w:rPr>
          <w:rFonts w:ascii="Times New Roman" w:hAnsi="Times New Roman" w:cs="Times New Roman"/>
          <w:i/>
          <w:iCs/>
          <w:color w:val="000000"/>
        </w:rPr>
        <w:t>[3] Electoral laws – Whether plaints and judicial review are applicable in electoral proceedings –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Rationale for exclusively allowing petitions – Whether a stay or injunction is available in electoral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proceedings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Judicial review – Whether the electoral commission and Parliament is amenable to judicial review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proceedings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a nominated Member of Parliament can be removed by judicial review.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907CC" w:rsidRDefault="00196909" w:rsidP="007907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nominated to Parliament by a political party called Ford People which is one of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registered political parties in Kenya and which also qualifies as a parliamentary political party.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Nominated members of Parliament are provided for under the provisions of section 33 and 41 of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Kenyan Constitution. The role of the Electoral Commission is to receive names from the parliamentary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political parties and then forward the names to the president for appointment and once the president has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appointed the persons whose names are submitted to him by the commission, those persons become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nominated members of the National Assembly and can only await the swearing in by the speaker. Every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parliamentary political party has a process of selecting its members or member for nomination to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Assembly.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Ford People </w:t>
      </w:r>
      <w:r>
        <w:rPr>
          <w:rFonts w:ascii="Times New Roman" w:hAnsi="Times New Roman" w:cs="Times New Roman"/>
          <w:color w:val="000000"/>
        </w:rPr>
        <w:t>the process of selection is provided for in its Constitution, and this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 genesis of the dispute before the court.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Kimani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Wa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Wanyoike</w:t>
      </w:r>
      <w:proofErr w:type="spellEnd"/>
      <w:r>
        <w:rPr>
          <w:rFonts w:ascii="Times New Roman" w:hAnsi="Times New Roman" w:cs="Times New Roman"/>
          <w:color w:val="000000"/>
        </w:rPr>
        <w:t>, the third respondent herein, is or was the National Chairman and the National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of the party. He swore an affidavit that the party has a National Executive Council (NEC). In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 of an emergency the “NEC” shall assume full responsibility of the party and shall report to the next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Meeting. Article 18 of the party Constitution deals with “Nomination of Party Candidates”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shall be by members by secret ballot. The third respondent contended, that the naming and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forwarding of such a name to the Electoral Commission should and ought to have been done by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Executive Council which, under the party Constitution, is authorised to make decisions on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behalf of the National Delegates Congress and the General Council.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Commission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second respondent herein, informed Ford People that of the twelve seats available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nomination, the party was entitled to one. According to the third respondent, Kimani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Wa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Wanyoike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3 January 2003, the Party Leader called him and asked him to join a meeting with the Party Leader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newly elected party members of parliament. The third respondent attended that meeting and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of selecting a party member for nomination to parliament came up. The third respondent thought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was not the proper forum for carrying out such a selection and he said so. The party leader asked him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leave the meeting. In his absence the appellant was selected or elected or whatever one may call it, as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party candidate for nomination to parliament. The name of the appellant was duly forwarded to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under the hand of the party leader, and other party members present at the meeting.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Thereafter, the third respondent convened a NEC meeting wherein he was chosen as the party’s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candidate for nomination to National Assembly. His name was also forwarded to the Commission so that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instead of having only one name to be forwarded to the president for appointment to parliament,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commission had two names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that of the appellant and that of the third respondent.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 forwarded to the president the name of the appellant and not that of the third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respondent. The president appointed the appellant as a nominated member of the National Assembly and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appointment was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 xml:space="preserve"> on 24 January 2003. The appellant was duly sworn in as nominated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 of Parliament on 18 February 2003.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 respondent was grievously offended by all this, that on 12 February 2003 he issued a notice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Registrar of the High Court that he </w:t>
      </w:r>
      <w:r>
        <w:rPr>
          <w:rFonts w:ascii="Times New Roman" w:hAnsi="Times New Roman" w:cs="Times New Roman"/>
          <w:color w:val="000000"/>
        </w:rPr>
        <w:lastRenderedPageBreak/>
        <w:t>intended to apply to the Court within seven days for orders of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>
        <w:rPr>
          <w:rFonts w:ascii="Times New Roman" w:hAnsi="Times New Roman" w:cs="Times New Roman"/>
          <w:color w:val="000000"/>
        </w:rPr>
        <w:t xml:space="preserve">, prohibition and mandamus and on 14 February 2003, four days before the </w:t>
      </w:r>
      <w:proofErr w:type="spellStart"/>
      <w:r>
        <w:rPr>
          <w:rFonts w:ascii="Times New Roman" w:hAnsi="Times New Roman" w:cs="Times New Roman"/>
          <w:color w:val="000000"/>
        </w:rPr>
        <w:t>gazettement</w:t>
      </w:r>
      <w:proofErr w:type="spellEnd"/>
      <w:r>
        <w:rPr>
          <w:rFonts w:ascii="Times New Roman" w:hAnsi="Times New Roman" w:cs="Times New Roman"/>
          <w:color w:val="000000"/>
        </w:rPr>
        <w:t xml:space="preserve"> of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appellant’s appointment, counsel for the third respondent filed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chamber summon under Order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LIII, rules 1 and 2 and under section 3A of the Civil Procedure Act seeking the said orders. On 17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February 2003 the application was heard and the judge granted the leave sought but declined to order that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leave he granted should operate as a stay, with the result that the president did appoint and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appointment of the appellant as a nominated member of the National Assembly. Thereafter, he was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sworn. On 3 March, a Notice of Motion was lodged pursuant to the court order that a substantive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be made within 21 days. The notice of motion basically repeated the contents of the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 w:rsidR="007907C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chamber summons and made basically the same prayers. The motion was eventually heard </w:t>
      </w:r>
      <w:r>
        <w:rPr>
          <w:rFonts w:ascii="Times New Roman" w:hAnsi="Times New Roman" w:cs="Times New Roman"/>
          <w:i/>
          <w:iCs/>
          <w:color w:val="000000"/>
        </w:rPr>
        <w:t xml:space="preserve">de novo </w:t>
      </w:r>
      <w:r>
        <w:rPr>
          <w:rFonts w:ascii="Times New Roman" w:hAnsi="Times New Roman" w:cs="Times New Roman"/>
          <w:color w:val="000000"/>
        </w:rPr>
        <w:t>and it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held that judicial review was in the circumstances, available to the respondents against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and granted the sought orders. The appellant was aggrieved by the orders and appealed.</w:t>
      </w:r>
      <w:r w:rsidR="007907CC">
        <w:rPr>
          <w:rFonts w:ascii="Times New Roman" w:hAnsi="Times New Roman" w:cs="Times New Roman"/>
          <w:color w:val="000000"/>
        </w:rPr>
        <w:t xml:space="preserve"> </w:t>
      </w:r>
    </w:p>
    <w:p w:rsidR="007907CC" w:rsidRDefault="007907CC" w:rsidP="007907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96909" w:rsidRDefault="00196909" w:rsidP="007907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Constitution does not provide a distinction between nominated and elected members of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Assembly.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may well be that the Commission was wrong in choosing to forward to the President the name of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instead of that of the third respondent. But even if the process of nomination was faulty,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appellant, through that faulty process, became a Member of the National Assembly and the Constitution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sets out in detail the procedure for removing a member from the Assembly.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are basically two routes of becoming a member of the Assembly. But in terms of removal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has set out only one process; we would have expected that if the makers of the Constitution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wanted different ways of removing members from the Assembly they would have specifically spelt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two ways as they did with entry into the Assembly. Clearly, it would be unreasonable to think that if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nominated member were, for example, declared bankrupt and thus became disqualified, then the only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way to remove him would be to go the High Court through the judicial review process. That would be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totally unnecessary and untenable as the Constitution itself has provided for the manner of removing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 from the National Assembly.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44(1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Constitution and section 18 of the National Assembly and Presidential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Elections Act, if admissible and acceptable evidence and, not necessarily documentary evidence, were to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placed before the speaker that a member has resigned from the party which sponsored him to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Assembly, the speaker would be perfectly entitled to declare the seat of such a member vacant.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distinction is drawn between an elected and a nominated member and if the speaker does declare a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seat vacant, the only remedy open to the member is to move to the High Court under section 44 of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itself and the National Assembly and Presidential Elections Act deal with and set out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detail the procedure of challenging elections and nominations to the national assembly. These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procedures ought to be followed and the judicial review process which in Kenya is provided for in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Reform Act (Chapter 26 of the Laws of Kenya) and in Order LIII of the Civil Procedure Rules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oust the provisions of the Constitution in particular. The Law Reform Act and Order LIII of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 Rules are both inferior to and can only apply subject to the provisions of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(</w:t>
      </w:r>
      <w:r>
        <w:rPr>
          <w:rFonts w:ascii="Times New Roman" w:hAnsi="Times New Roman" w:cs="Times New Roman"/>
          <w:i/>
          <w:iCs/>
          <w:color w:val="000000"/>
        </w:rPr>
        <w:t xml:space="preserve">The Speaker of the National Assembly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Karume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application number Nairobi 92 of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1992 Nairobi 40 of 1992 UR; </w:t>
      </w:r>
      <w:r>
        <w:rPr>
          <w:rFonts w:ascii="Times New Roman" w:hAnsi="Times New Roman" w:cs="Times New Roman"/>
          <w:i/>
          <w:iCs/>
          <w:color w:val="000000"/>
        </w:rPr>
        <w:t xml:space="preserve">Kimani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Wanyoike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Electoral Commission of Kenya and another</w:t>
      </w:r>
      <w:r w:rsidR="007907C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application number Nairobi 213 of 1995 [96 of 1995 UR] applied; </w:t>
      </w:r>
      <w:r>
        <w:rPr>
          <w:rFonts w:ascii="Times New Roman" w:hAnsi="Times New Roman" w:cs="Times New Roman"/>
          <w:i/>
          <w:iCs/>
          <w:color w:val="000000"/>
        </w:rPr>
        <w:t xml:space="preserve">Richard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Chirchir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</w:t>
      </w:r>
      <w:r w:rsidR="007907C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Henry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Cheboiwo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distinguished).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filing either their plaint or the judicial review process now under consideration, the clear intention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parties aggrieved by the action of the Commission was to stop the commission from proceeding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process of nominating the appellant. If the commission can be stopped from proceeding with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 of nomination, it can also be stopped from completing the process of elections. That cannot be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because if it were to be allowed, the country may well end up having no members in the National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Assembly as there will undoubtedly be interventions by the courts in the process of either electing or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nominating members to the National Assembly. Such interventions might become the order of the day if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ordinary processes of approaching the court-such as by way of a plaint, originating summons or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review-were allowed to take root in the electoral process.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Neither the Constitution nor the National Assembly and Presidential Elections Act makes provision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interim relief such as injunctions, orders of stay and so on during the hearing of an election petition.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If an injunction were to be issued against sitting </w:t>
      </w:r>
      <w:r>
        <w:rPr>
          <w:rFonts w:ascii="Times New Roman" w:hAnsi="Times New Roman" w:cs="Times New Roman"/>
          <w:color w:val="000000"/>
        </w:rPr>
        <w:lastRenderedPageBreak/>
        <w:t>member of the National Assembly, the effect of that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to render the constituency represented by such a member to be without a representative during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hearing of the petition, however long the hearing may last. Again if a plaint were filed seeking to stop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electoral process from going on and an injunction were to be issued pending the hearing and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of the suit, the people in the electoral area involved in the suit would be virtually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disenfranchised pending the hearing and determination of the suit. The framers of the Constitution must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had these considerations in mind when dealing with the issue of election petitions and come to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 that it would be far much better to have a defective election than no election at all and that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members have all joined the National Assembly those whose elections are subsequently found to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defective can be waded out through election petitions and fresh elections held for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 area. The same considerations must apply to nominated members. That the courts take such a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long time to hear and determine election petitions is a serious blot upon the judicial system. But that blot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find its solution elsewhere and the solution does not lie in employing other methods except those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 by the Constitution.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if the process employed by the commission in deciding which of the two persons should be sent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President for appointment was entirely defective, the process had been completed by the President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appointing the appellant as a member of the National Assembly.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 Speaker, like all of us is bound by the Constitution and the National Assembly and Presidential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Elections Act. There was no reason that could have led the speaker to declare the seat held by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vacant. Such a declaration could only be done within the confines set out in the Constitution.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other alternative for the learned Judge was to issue to the Speaker a certificate of determination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29 of the National Assembly and Presidential Elections Act. But the learned Judge would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no jurisdiction to issue such a certificate because there was no election petition before him. Perhaps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was asking the Speaker to carry out an investigation under section 18 of the Act to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 if the seat of the appellant had become vacant. It would be inappropriate for the High Court to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such an order because it is not to be forgotten that the declaration by the Speaker that a seat held by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member has become vacant is itself challengeable in the High Court through an election petition and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would be no reason for the High Court to involve itself in such a circus.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procedure of judicial review, like that of a plaint or any such like procedure is and was not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available to the parties aggrieved by the acts or omissions of the commission. The only valid way of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challenging the outcome of the electoral process, and for that purpose nominating members to the</w:t>
      </w:r>
      <w:r w:rsidR="007907C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Assembly, is part of the electoral process, is through an election petition as provided in the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 and the National Assembly and Presidential Elections Act.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Chirchir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Cheboiwo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Kimani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Wa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Nyoike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Electoral Commission of Kenya and another </w:t>
      </w:r>
      <w:r>
        <w:rPr>
          <w:rFonts w:ascii="Times New Roman" w:hAnsi="Times New Roman" w:cs="Times New Roman"/>
          <w:color w:val="000000"/>
        </w:rPr>
        <w:t>civil application number Nairobi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213 of 1995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Mbondo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Galgalo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election petition number 16 of 1974 (UR)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The Speaker of the National Assembly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Karume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application number Nairobi 92 of 1992 (UR)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196909" w:rsidRDefault="00196909" w:rsidP="00196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AB7022" w:rsidRDefault="00196909" w:rsidP="00196909">
      <w:r>
        <w:rPr>
          <w:rFonts w:ascii="Times New Roman" w:hAnsi="Times New Roman" w:cs="Times New Roman"/>
          <w:i/>
          <w:iCs/>
          <w:color w:val="000000"/>
        </w:rPr>
        <w:t xml:space="preserve">The Queen v The County Judge of Essex and Clark </w:t>
      </w:r>
      <w:r>
        <w:rPr>
          <w:rFonts w:ascii="Times New Roman" w:hAnsi="Times New Roman" w:cs="Times New Roman"/>
          <w:color w:val="000000"/>
        </w:rPr>
        <w:t>[1887] 18 QB 704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09"/>
    <w:rsid w:val="00196909"/>
    <w:rsid w:val="007907CC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2BFF3-8F29-488D-939E-3FAFA6D0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2018-07-05T06:28:00Z</dcterms:created>
  <dcterms:modified xsi:type="dcterms:W3CDTF">2018-07-13T06:35:00Z</dcterms:modified>
</cp:coreProperties>
</file>