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Kones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 and others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Kimani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Wanyoike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November 2006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94/05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Whether judicial review can oust constitutional provisions.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Electoral laws – Whether nomination of Members of Parliament amounts to an electoral process.</w:t>
      </w:r>
    </w:p>
    <w:p w:rsidR="00F27567" w:rsidRDefault="00A71C0A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F27567">
        <w:rPr>
          <w:rFonts w:ascii="Times New Roman" w:hAnsi="Times New Roman" w:cs="Times New Roman"/>
          <w:i/>
          <w:iCs/>
          <w:color w:val="000000"/>
        </w:rPr>
        <w:t>[3] Electoral laws – Whether plaints and judicial review are applicable in electoral proceedings –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Rationale for exclusively allowing petitions – Whether a stay or injunction is available in electoral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proceedings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Judicial review – Whether the electoral commission and Parliament is amenable to judicial review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proceedings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a nominated Member of Parliament can be removed by judicial review.</w:t>
      </w:r>
    </w:p>
    <w:p w:rsidR="00F27567" w:rsidRDefault="00A71C0A" w:rsidP="00A71C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27567" w:rsidRDefault="00F27567" w:rsidP="00A7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appellant before us is </w:t>
      </w:r>
      <w:proofErr w:type="spellStart"/>
      <w:r>
        <w:rPr>
          <w:rFonts w:ascii="Times New Roman" w:hAnsi="Times New Roman" w:cs="Times New Roman"/>
          <w:color w:val="000000"/>
        </w:rPr>
        <w:t>Kipkalya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Kiprono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Kones</w:t>
      </w:r>
      <w:proofErr w:type="spellEnd"/>
      <w:r>
        <w:rPr>
          <w:rFonts w:ascii="Times New Roman" w:hAnsi="Times New Roman" w:cs="Times New Roman"/>
          <w:color w:val="000000"/>
        </w:rPr>
        <w:t>. He is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nominated Member of Parliament and was purportedly so nominated by a political party called Ford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People which is one of the registered political parties in Kenya and which also qualifies as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parliamentary political party due to the fact that it has elected members of Parliament. Nominated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Parliament are provided for under the provisions of section 33 of the Kenya Constitution.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section provides: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“3 (1) Subject to this section, there shall be twelve nominated members of the National Assembly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appointed by the President following a general election, to represent special interests.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persons to be appointed shall be persons who, if they had been nominated for a parliamentary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election, would be qualified to be elected as members of the National Assembly.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persons to be appointed shall be nominated by the parliamentary parties according to the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proportion of every parliamentary party in the National Assembly, taking into account the principle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gender equality.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The proportions under subsection (3) shall be determined by the Electoral Commission after every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general election and shall be signified by the chairman of the Commission to the leaders of the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concerned parliamentary parties, the President and the Speaker.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The names of the nominees of parliamentary parties shall be forwarded to the President through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Electoral Commission who shall ensure observance of the principle of gender equality in the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nominations.”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Then there is section 41 of the Constitution which creates the Electoral Commission referred to in section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33. Section 41, where relevant, provides: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“41 (1) There shall be an Electoral Commission, which shall consist of a chairman and not less than four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more than twenty-one members appointed by the President.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 of the Commission shall be a citizen of Kenya.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The Commission shall elect a vice-chairman from among its members.</w:t>
      </w:r>
    </w:p>
    <w:p w:rsidR="00A71C0A" w:rsidRDefault="00F27567" w:rsidP="00A7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chairman and the vice-chairman of the Commission shall be persons who have held or are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qualified to hold office of a judge of the High Court or judge of appeal under this Constitution.”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other remaining provisions of section 41 deal with the qualifications of Commissioners, when their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offices become vacant, the process of removing them from office and such like matters.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already indicated that Ford People is a parliamentary political party. The Electoral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(</w:t>
      </w:r>
      <w:r>
        <w:rPr>
          <w:rFonts w:ascii="Verdana" w:hAnsi="Verdana" w:cs="Verdana"/>
          <w:color w:val="000000"/>
          <w:sz w:val="18"/>
          <w:szCs w:val="18"/>
        </w:rPr>
        <w:t xml:space="preserve">hereinafter </w:t>
      </w:r>
      <w:r>
        <w:rPr>
          <w:rFonts w:ascii="Times New Roman" w:hAnsi="Times New Roman" w:cs="Times New Roman"/>
          <w:color w:val="000000"/>
        </w:rPr>
        <w:t>“the Commission”) determined, under section 33(4) of the Constitution, that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Ford People was entitled to propose one member to be appointed by the President to the National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as a nominated member. Under subsection (5) of section 33, Ford People was, therefore,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to forward one name to the Commission and the Commission would in turn forward that name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President. We must stress at this stage that it is not the function of the Commission to appoint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nominated members to the National Assembly; the appointment of such members is the function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 and all that is required of the Commission by the Constitution is that it receives the names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proposed appointees from the parliamentary political parties, ensures that the principle of gender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equality is observed by the parties and once it (the Commission) is satisfied on that aspect of the matter,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only function is to forward the names to the President for appointment. We suppose that if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were to notice that a parliamentary political party had forwarded to it the name of a person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qualified to be appointed,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 if the person is an undischarged bankrupt, or a </w:t>
      </w:r>
      <w:proofErr w:type="spellStart"/>
      <w:r>
        <w:rPr>
          <w:rFonts w:ascii="Times New Roman" w:hAnsi="Times New Roman" w:cs="Times New Roman"/>
          <w:color w:val="000000"/>
        </w:rPr>
        <w:t>non citizen</w:t>
      </w:r>
      <w:proofErr w:type="spellEnd"/>
      <w:r>
        <w:rPr>
          <w:rFonts w:ascii="Times New Roman" w:hAnsi="Times New Roman" w:cs="Times New Roman"/>
          <w:color w:val="000000"/>
        </w:rPr>
        <w:t xml:space="preserve"> of Kenya,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would be perfectly within its mandate to return the name of the unqualified person to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parliamentary political party and ask that</w:t>
      </w:r>
      <w:r w:rsidR="00A71C0A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party to propose the name of a qualified </w:t>
      </w:r>
      <w:r>
        <w:rPr>
          <w:rFonts w:ascii="Times New Roman" w:hAnsi="Times New Roman" w:cs="Times New Roman"/>
          <w:color w:val="000000"/>
        </w:rPr>
        <w:lastRenderedPageBreak/>
        <w:t>person. One would hardly expect the Commission headed by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who has held or is qualified to hold the office of a judge to forward to the President the name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unqualified person to be appointed as a member of the National Assembly. But apart from such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matters, the role of the Commission is to receive names from the parliamentary political parties and then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forward the names to the President for appointment and once the President has appointed the persons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whose names are submitted to him by the Commission, those persons become nominated members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 and can only await the swearing in by the Speaker and it is to be noted that all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the Assembly, whether elected or nominated must be sworn-in by the Speaker, see section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49(1) of the Constitution which provides: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“Every member of the National Assembly shall before taking his seat in the Assembly, take and subscribe the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oath of allegiance before the Assembly, but a member may before taking and subscribing that oath take part in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election of the Speaker of the National Assembly.”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So that it is not the swearing-in by the Speaker which confers the right to membership of the Assembly;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right is conferred by election, in the case of an elected member and by appointment by the President,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case of a nominated member. The swearing in by the Speaker is merely to enable the member to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participate in the proceedings of the Assembly after the Speaker has been elected.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again assume that each and every parliamentary political party has a process of selecting its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or member for nomination to the Assembly. In the case of Ford People, we were told that it has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for the process of selection in its Constitution and that is the genesis of the dispute before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Ford People has a leadership structure which consists of, among other officials, the Party Leader and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Chairman General. We were told the Party Leader is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Simeon </w:t>
      </w:r>
      <w:proofErr w:type="spellStart"/>
      <w:r>
        <w:rPr>
          <w:rFonts w:ascii="Times New Roman" w:hAnsi="Times New Roman" w:cs="Times New Roman"/>
          <w:color w:val="000000"/>
        </w:rPr>
        <w:t>Nyachae</w:t>
      </w:r>
      <w:proofErr w:type="spellEnd"/>
      <w:r>
        <w:rPr>
          <w:rFonts w:ascii="Times New Roman" w:hAnsi="Times New Roman" w:cs="Times New Roman"/>
          <w:color w:val="000000"/>
        </w:rPr>
        <w:t xml:space="preserve"> and the major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role of that officer in the party appears to be to stand for election as President of the Republic on behalf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Party.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Simeon </w:t>
      </w:r>
      <w:proofErr w:type="spellStart"/>
      <w:r>
        <w:rPr>
          <w:rFonts w:ascii="Times New Roman" w:hAnsi="Times New Roman" w:cs="Times New Roman"/>
          <w:color w:val="000000"/>
        </w:rPr>
        <w:t>Nyachae</w:t>
      </w:r>
      <w:proofErr w:type="spellEnd"/>
      <w:r>
        <w:rPr>
          <w:rFonts w:ascii="Times New Roman" w:hAnsi="Times New Roman" w:cs="Times New Roman"/>
          <w:color w:val="000000"/>
        </w:rPr>
        <w:t>, being the Party leader was the Party’s Presidential Candidate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December 2002 Parliamentary and Presidential elections and the dispute before us has its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origins from those elections.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Kimani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Wa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Nyoike</w:t>
      </w:r>
      <w:proofErr w:type="spellEnd"/>
      <w:r>
        <w:rPr>
          <w:rFonts w:ascii="Times New Roman" w:hAnsi="Times New Roman" w:cs="Times New Roman"/>
          <w:color w:val="000000"/>
        </w:rPr>
        <w:t>, the third respondent herein, is or was the National Chairman and the National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of the party, see his affidavit of 12 February 2003. In that affidavit, the third respondent swore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party has a National Executive Council (“NEC”) which consists of:</w:t>
      </w:r>
      <w:r w:rsidR="00A71C0A">
        <w:rPr>
          <w:rFonts w:ascii="Times New Roman" w:hAnsi="Times New Roman" w:cs="Times New Roman"/>
          <w:color w:val="000000"/>
        </w:rPr>
        <w:t xml:space="preserve"> </w:t>
      </w:r>
    </w:p>
    <w:p w:rsidR="00A71C0A" w:rsidRPr="00A71C0A" w:rsidRDefault="00F27567" w:rsidP="00A71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71C0A">
        <w:rPr>
          <w:rFonts w:ascii="Times New Roman" w:hAnsi="Times New Roman" w:cs="Times New Roman"/>
          <w:color w:val="000000"/>
        </w:rPr>
        <w:t>The Party Leader.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</w:p>
    <w:p w:rsidR="00A71C0A" w:rsidRDefault="00F27567" w:rsidP="00A71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A71C0A">
        <w:rPr>
          <w:rFonts w:ascii="Times New Roman" w:hAnsi="Times New Roman" w:cs="Times New Roman"/>
          <w:color w:val="000000"/>
        </w:rPr>
        <w:t>( ii</w:t>
      </w:r>
      <w:proofErr w:type="gramEnd"/>
      <w:r w:rsidRPr="00A71C0A">
        <w:rPr>
          <w:rFonts w:ascii="Times New Roman" w:hAnsi="Times New Roman" w:cs="Times New Roman"/>
          <w:color w:val="000000"/>
        </w:rPr>
        <w:t>) All National Officials elected at the National Delegates Congress, including all Functional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  <w:r w:rsidRPr="00A71C0A">
        <w:rPr>
          <w:rFonts w:ascii="Times New Roman" w:hAnsi="Times New Roman" w:cs="Times New Roman"/>
          <w:color w:val="000000"/>
        </w:rPr>
        <w:t>Secretaries elected by the General Council on delegation from the National Delegates Congress.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</w:p>
    <w:p w:rsidR="00A71C0A" w:rsidRDefault="00F27567" w:rsidP="00A71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71C0A">
        <w:rPr>
          <w:rFonts w:ascii="Times New Roman" w:hAnsi="Times New Roman" w:cs="Times New Roman"/>
          <w:color w:val="000000"/>
        </w:rPr>
        <w:t>(iii) The Party Chief Whip in Parliament.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</w:p>
    <w:p w:rsidR="00F27567" w:rsidRPr="00A71C0A" w:rsidRDefault="00F27567" w:rsidP="00A71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A71C0A">
        <w:rPr>
          <w:rFonts w:ascii="Times New Roman" w:hAnsi="Times New Roman" w:cs="Times New Roman"/>
          <w:color w:val="000000"/>
        </w:rPr>
        <w:t>(iv) The</w:t>
      </w:r>
      <w:proofErr w:type="gramEnd"/>
      <w:r w:rsidRPr="00A71C0A">
        <w:rPr>
          <w:rFonts w:ascii="Times New Roman" w:hAnsi="Times New Roman" w:cs="Times New Roman"/>
          <w:color w:val="000000"/>
        </w:rPr>
        <w:t xml:space="preserve"> Executive Director, who shall be an </w:t>
      </w:r>
      <w:r w:rsidRPr="00A71C0A">
        <w:rPr>
          <w:rFonts w:ascii="Times New Roman" w:hAnsi="Times New Roman" w:cs="Times New Roman"/>
          <w:i/>
          <w:iCs/>
          <w:color w:val="000000"/>
        </w:rPr>
        <w:t xml:space="preserve">ex officio </w:t>
      </w:r>
      <w:r w:rsidRPr="00A71C0A">
        <w:rPr>
          <w:rFonts w:ascii="Times New Roman" w:hAnsi="Times New Roman" w:cs="Times New Roman"/>
          <w:color w:val="000000"/>
        </w:rPr>
        <w:t>member.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  <w:r w:rsidRPr="00A71C0A">
        <w:rPr>
          <w:rFonts w:ascii="Times New Roman" w:hAnsi="Times New Roman" w:cs="Times New Roman"/>
          <w:color w:val="000000"/>
        </w:rPr>
        <w:t>The functions of the NEC are said to be: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  <w:r w:rsidRPr="00A71C0A">
        <w:rPr>
          <w:rFonts w:ascii="Times New Roman" w:hAnsi="Times New Roman" w:cs="Times New Roman"/>
          <w:color w:val="000000"/>
          <w:sz w:val="20"/>
          <w:szCs w:val="20"/>
        </w:rPr>
        <w:t>“Acting as the executive body of the General Council and the National Delegates Congress and to ensure that</w:t>
      </w:r>
      <w:r w:rsidR="00A71C0A" w:rsidRP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71C0A">
        <w:rPr>
          <w:rFonts w:ascii="Times New Roman" w:hAnsi="Times New Roman" w:cs="Times New Roman"/>
          <w:color w:val="000000"/>
          <w:sz w:val="20"/>
          <w:szCs w:val="20"/>
        </w:rPr>
        <w:t>all decisions and policies made are duly carried out by the Party and the Secretariat</w:t>
      </w:r>
      <w:r w:rsidR="00A71C0A" w:rsidRPr="00A71C0A">
        <w:rPr>
          <w:rFonts w:ascii="Times New Roman" w:hAnsi="Times New Roman" w:cs="Times New Roman"/>
          <w:color w:val="000080"/>
        </w:rPr>
        <w:t xml:space="preserve"> </w:t>
      </w:r>
      <w:r w:rsidRPr="00A71C0A">
        <w:rPr>
          <w:rFonts w:ascii="Times New Roman" w:hAnsi="Times New Roman" w:cs="Times New Roman"/>
          <w:color w:val="000000"/>
        </w:rPr>
        <w:t>In the event of an emergency the NEC shall assume full responsibility of the party and shall report to the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  <w:r w:rsidRPr="00A71C0A">
        <w:rPr>
          <w:rFonts w:ascii="Times New Roman" w:hAnsi="Times New Roman" w:cs="Times New Roman"/>
          <w:color w:val="000000"/>
        </w:rPr>
        <w:t>next General Council meeting. At all meetings of the NEC and the General Council, the National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  <w:r w:rsidRPr="00A71C0A">
        <w:rPr>
          <w:rFonts w:ascii="Times New Roman" w:hAnsi="Times New Roman" w:cs="Times New Roman"/>
          <w:color w:val="000000"/>
        </w:rPr>
        <w:t>Chairman or in his absence the National Deputy Chairman shall preside and in the absence of the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  <w:r w:rsidRPr="00A71C0A">
        <w:rPr>
          <w:rFonts w:ascii="Times New Roman" w:hAnsi="Times New Roman" w:cs="Times New Roman"/>
          <w:color w:val="000000"/>
        </w:rPr>
        <w:t>National Chairman and his Deputy the members shall elect one from among themselves to preside.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  <w:r w:rsidRPr="00A71C0A">
        <w:rPr>
          <w:rFonts w:ascii="Times New Roman" w:hAnsi="Times New Roman" w:cs="Times New Roman"/>
          <w:color w:val="000000"/>
        </w:rPr>
        <w:t>Article 18 of the Party Constitution deals with “Nomination of Party Candidates” which shall be by</w:t>
      </w:r>
      <w:r w:rsidR="00A71C0A" w:rsidRPr="00A71C0A">
        <w:rPr>
          <w:rFonts w:ascii="Times New Roman" w:hAnsi="Times New Roman" w:cs="Times New Roman"/>
          <w:color w:val="000000"/>
        </w:rPr>
        <w:t xml:space="preserve"> </w:t>
      </w:r>
      <w:r w:rsidRPr="00A71C0A">
        <w:rPr>
          <w:rFonts w:ascii="Times New Roman" w:hAnsi="Times New Roman" w:cs="Times New Roman"/>
          <w:color w:val="000000"/>
        </w:rPr>
        <w:t>members by secret ballot and is as follows: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Party Presidential Candidate in respect of Presidential Elections – party leader as elected by the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National Delegates Congress;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Party Parliamentary Candidate in respect of Parliamentary Elections – all registered party members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within the branch;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Party Local Authority Candidate in respect of Local Authority Elections – all registered party members</w:t>
      </w:r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sub branch.”</w:t>
      </w:r>
    </w:p>
    <w:p w:rsidR="00A71C0A" w:rsidRDefault="00F27567" w:rsidP="00A7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special circumstances making it physically or technically impossible to hold a nomination by election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provided above, the National Executive Committee shall convene and make an appropriate decision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best interest of the party. Though these provisions do not really cover the process of choosing a party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for nomination or appointment to Parliament, the third respondent contended, we think with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justification, that the naming and forwarding of such a name to the Electoral Commission should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ought to have been done by the National Executive Council which, under the party Constitution, is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authorised to make decisions on behalf of the National Delegates Congress and the General Council. But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view, that issue is neither here nor there and this will subsequently become apparent later on.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Commission,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second respondent herein, informed Ford People that of the twelve seats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available for nomination, the party was entitled to one. According to the third respondent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Kimani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Wa</w:t>
      </w:r>
      <w:proofErr w:type="spellEnd"/>
      <w:proofErr w:type="gramEnd"/>
      <w:r w:rsidR="00A71C0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Nyoike</w:t>
      </w:r>
      <w:proofErr w:type="spellEnd"/>
      <w:r>
        <w:rPr>
          <w:rFonts w:ascii="Times New Roman" w:hAnsi="Times New Roman" w:cs="Times New Roman"/>
          <w:color w:val="000000"/>
        </w:rPr>
        <w:t>, on 3 January 2003 the Party Leader called him and asked him to join a meeting with the Party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Leader and the newly elected Party Members of Parliament. He,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third respondent attended that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meeting and the issue of selecting a party member for nomination to Parliament came up. The third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thought that was not the proper forum for carrying out such a selection and he said so.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third respondent, the Party Leader asked him to leave and he did leave the meeting.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absence the appellant was selected or elected or whatever one may call it, as the party candidate for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nomination to Parliament. The name of the appellant was duly forwarded to the Commission under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hand of the Party Leader, and other party members present at the meeting.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afternoon of the same day, the third respondent convened what, in his view, was a NEC meeting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at that meeting, the third respondent was chosen as the party’s candidate for nomination to National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Assembly. The name of the third respondent was also forwarded to the Commission so that instead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only one name to be forwarded to the President for appointment to Parliament the Commission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two names,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that of the appellant and that of the third respondent. The Commission did not explain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Superior Court, nor to this Court, the method it used to deal with the issue of the two names, but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dispute that the Commission forwarded to the President the name of the appellant and not that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third respondent. The Commission dealt with the issue of nominations between 14 and 17 January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2003, and there was no dispute on the evidence the President did appoint the appellant as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nominated member of the National Assembly and the appointment was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Gazetted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on 24 January 2003.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was duly sworn in as a nominated </w:t>
      </w:r>
      <w:proofErr w:type="gramStart"/>
      <w:r>
        <w:rPr>
          <w:rFonts w:ascii="Times New Roman" w:hAnsi="Times New Roman" w:cs="Times New Roman"/>
          <w:color w:val="000000"/>
        </w:rPr>
        <w:t>member</w:t>
      </w:r>
      <w:proofErr w:type="gramEnd"/>
      <w:r>
        <w:rPr>
          <w:rFonts w:ascii="Times New Roman" w:hAnsi="Times New Roman" w:cs="Times New Roman"/>
          <w:color w:val="000000"/>
        </w:rPr>
        <w:t xml:space="preserve"> of Parliament on 18 February 2003.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 respondent was grievously offended by all this, so much that on 12 February 2003 he issued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notice to the Registrar of the High Court that he intended to apply to the Court within seven days for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orders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prohibition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and on 14 February 2003, four days before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gazettement</w:t>
      </w:r>
      <w:proofErr w:type="spellEnd"/>
      <w:r>
        <w:rPr>
          <w:rFonts w:ascii="Times New Roman" w:hAnsi="Times New Roman" w:cs="Times New Roman"/>
          <w:color w:val="000000"/>
        </w:rPr>
        <w:t xml:space="preserve"> of the appellant’s appointment,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color w:val="000000"/>
        </w:rPr>
        <w:t>, learned Counsel for the third respondent, filed an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chamber summons under Order LIII, rules 1 and 2 and under section 3A of the Civil Procedure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and by the said summons, the third respondent asked the Superior Court for:</w:t>
      </w:r>
      <w:r w:rsidR="00A71C0A">
        <w:rPr>
          <w:rFonts w:ascii="Times New Roman" w:hAnsi="Times New Roman" w:cs="Times New Roman"/>
          <w:color w:val="000000"/>
        </w:rPr>
        <w:t xml:space="preserve"> </w:t>
      </w:r>
    </w:p>
    <w:p w:rsidR="00A71C0A" w:rsidRDefault="00F27567" w:rsidP="00A7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“(2) . . . eave to bring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certiorari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prohibition 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mandamus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directed against the respondent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such leave do operate as stay of the respondent’s orders and/decisions made and/or proceedings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taken on 14 and 17 January 2003, together with all consequential orders and/or proceedings thereto.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71C0A" w:rsidRDefault="00F27567" w:rsidP="00A7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(3) That by way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to move into court and quash the order and/or decision(s) or proceedings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taken by the Electoral Commission of Kenya made on 14 and 17 January 2003 refusing to forward the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second applicant’s name and particulars for appointment as Ford People’s nominated member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 to His Excellency the President of the Republic of Kenya and instead forwarded the name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Kipkalya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Kiprono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71C0A" w:rsidRDefault="00F27567" w:rsidP="00A7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By way of mandamus the respondent be directed to forward the names and particulars of the second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applicant Kimani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Nyoike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appointment as Ford People’s nominated member of Parliament to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His Excellency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Kibaki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 President of the Republic of Kenya.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A71C0A" w:rsidRDefault="00F27567" w:rsidP="00A7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(5) By way of Prohibition Order the respondent to refrain from wrongly interpreting, or misinterpreting or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taking a biased position in their reading of the first applicant’s Constitution and in particular refrain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taking proceedings in support of the nomination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Kipkalya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Kiprono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the party’s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nominee.”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in support of these prayers were stated on the body of the summons and they were seven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with other sub-paragraphs. The grounds were that:</w:t>
      </w:r>
      <w:r w:rsidR="00A71C0A">
        <w:rPr>
          <w:rFonts w:ascii="Times New Roman" w:hAnsi="Times New Roman" w:cs="Times New Roman"/>
          <w:color w:val="000000"/>
        </w:rPr>
        <w:t xml:space="preserve"> </w:t>
      </w:r>
    </w:p>
    <w:p w:rsidR="00A71C0A" w:rsidRDefault="00F27567" w:rsidP="00A7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On or about 31 December 2002 the respondent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Electoral Commission of Kenya informed the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first applicant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third respondent) that by virtue of section 33 of the Constitution of the Republic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Kenya, it was entitled to name or nominate one person for it to forward for appointment by His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Excellency the President.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By a letter dated 3 January 2003 the first applicant by its National Executive Committee (NEC)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informed the respondent that it had named and chosen the second applicant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Kimani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Nyoike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for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nomination to the Parliament for the one place allocated to it.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On diverse dates between 14 and 17 January 2003 the respondent was reported in the media as having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selected and forwarded for nomination the name of one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Kipkalya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Kiprono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refused or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rejected the name of the second applicant.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The respondent in the same media reports was said to have made the subject selection on reliance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article 6 of the first applicant’s Constitution and hence had refused to base its decision on any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following: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Sections 1A and 33(1), (2) and (3) of the Constitution of the Republic of Kenya.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Articles 11, 12, 17(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and 18 of the first applicant is Constitution which set out that such an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executive decision should be made by the first applicant’s NEC and not by the first applicant’s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Party Leader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Simeon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Nyachae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when he wrongly purported to nominate a one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Kipkalya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Kiprono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fill the party’s nomination seat subject matter hereof.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Made the decision to be selective against the applicants on its own without hearing them or any of them, in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any way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whatsoever.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The act of the respondent has sharply divided the first applicant’s membership, and has made the operation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applicant suffer paralysis, as it has cast doubt as to which organ of the party has the constitutional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mandate to make such an executive decision.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Further the action by the respondent is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ultra vires </w:t>
      </w:r>
      <w:r>
        <w:rPr>
          <w:rFonts w:ascii="Times New Roman" w:hAnsi="Times New Roman" w:cs="Times New Roman"/>
          <w:color w:val="000000"/>
          <w:sz w:val="20"/>
          <w:szCs w:val="20"/>
        </w:rPr>
        <w:t>its powers and the mandate given to it by law and has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erroneously made the respondent the selecting, appointing/nominating authority over the party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concerned, and His Excellency the President.”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grounds were further amplified by a statement of facts filed with the summons. Though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talk of the first respondent as being the party, namely Ford People, the chamber summons did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have the name of Ford People and the summons, though nominally brought by the Republic as is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usual practice, only showed that the Republic brought it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Kimani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Nyoike</w:t>
      </w:r>
      <w:proofErr w:type="spellEnd"/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Edward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Kagiri</w:t>
      </w:r>
      <w:proofErr w:type="spellEnd"/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Sammy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Maina</w:t>
      </w:r>
      <w:proofErr w:type="spellEnd"/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John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Chebii</w:t>
      </w:r>
      <w:proofErr w:type="spellEnd"/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(all suing as the National Officers of The Forum for the Restoration of Democracy for the People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(Ford People)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imani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Nyoike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Nothing really turned on this point either in the Superior Court or in this Court but it could well cause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confusion as to who was the first respondent and who was the second respondent. Apart from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of facts, there was also a short verifying affidavit sworn by the second respondent in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chamber summons was heard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and by his order dated 17 February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2003, the Judge granted the leave sought but declined to order that the leave he granted should operate 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stay, with the result that the President did appoint and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appointment of the appellant as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nominated member of the National Assembly, and the appellant was thereafter sworn in as such member.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J’s order had directed that the substantive application be filed within twenty – one (21) days and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pursuant to that order a notice on motion dated 28 February 2003 was lodged in the Superior Court on 3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March 2003. The notice on motion basically repeated the contents of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chamber summons and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basically the same prayers. The motion was at first fully heard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Rimita</w:t>
      </w:r>
      <w:proofErr w:type="spellEnd"/>
      <w:r>
        <w:rPr>
          <w:rFonts w:ascii="Times New Roman" w:hAnsi="Times New Roman" w:cs="Times New Roman"/>
          <w:color w:val="000000"/>
        </w:rPr>
        <w:t xml:space="preserve"> but he was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unable to give a decision thereon and the motion was eventually heard </w:t>
      </w:r>
      <w:r>
        <w:rPr>
          <w:rFonts w:ascii="Times New Roman" w:hAnsi="Times New Roman" w:cs="Times New Roman"/>
          <w:i/>
          <w:iCs/>
          <w:color w:val="000000"/>
        </w:rPr>
        <w:t xml:space="preserve">de novo </w:t>
      </w:r>
      <w:r>
        <w:rPr>
          <w:rFonts w:ascii="Times New Roman" w:hAnsi="Times New Roman" w:cs="Times New Roman"/>
          <w:color w:val="000000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20 January 2004 and 9 March 2004 when the learned Judge reserved his judgment to 23 April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2004. On the latter date, the learned Judge delivered his judgment which ran into 82 typed pages. 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basically held that judicial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was in the circumstances, available to the respondents against the Commission and the learned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issued the following orders: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That an Order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certiorari </w:t>
      </w:r>
      <w:r>
        <w:rPr>
          <w:rFonts w:ascii="Times New Roman" w:hAnsi="Times New Roman" w:cs="Times New Roman"/>
          <w:color w:val="000000"/>
          <w:sz w:val="20"/>
          <w:szCs w:val="20"/>
        </w:rPr>
        <w:t>be and is hereby issued removing into the court and quashing the order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and/or decisions or proceedings taken by the Electoral Commission of Kenya on 14 and 17 January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2003.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an Order of mandamus be and is hereby issued directing the respondent to comply with the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section 33 and in particular section 33(3) and 33(5) of the Constitution of Kenya, as well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with the general law of the land, in respect of the one nominated seat in Parliament already reserved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Parliamentary Party known as Forum for the Restoration of Democracy for the People (Ford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People).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That a certified copy of this Judgment shall be provided to the Speaker of the National Assembly, to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serve as a basis for any decisions such as he may consider himself empowered to make by virtue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44 or any other pertinent section of the Constitution of Kenya.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That depending on such action as the Speaker of the National Assembly may take within his powers as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set out under the Constitution of Kenya, the applicants in these proceedings shall be at liberty to make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further applications by virtue of section 44 or any other pertinent section of the Constitution.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That the costs of these proceedings shall be borne by the respondent.”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these orders, all that which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J did was to quash the proceedings of the Commission made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14 and 17 January 2003,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proceedings which led to the Commission forwarding to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 the name of the appellant for appointment as a member of the National Assembly. Having thus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quashed those proceedings, the learned Judge then went on to issue an order of mandamus directing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to comply with the provisions of section 33 of the Constitution as well as “with the general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of the land,” whatever that may mean. The learned Judge then left it to the Speaker of the National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to take whatever action he felt empowered to take under section 44 of the Constitution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Republic. Section 44 to which the learned Judge severally referred deals with “Determination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 as to membership of National Assembly” and is in the following terms: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“44 (1) The High Court shall have jurisdiction to hear and determine any question whether: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 person has been validly elected as a member of the National Assembly; or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seat in the National Assembly of a member thereof has become vacant.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An application to the High Court for the determination of a question under subsection 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may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made by any person who was entitled to vote in the election to which the application relates or by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Attorney General.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An application to the High Court for the determination of a question under subsection 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may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made: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Where the speaker has declared that the seat in the National Assembly of a member has by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 of a provision of this Constitution become vacant, by that member; or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In any other case, by a person who is registered as a voter in elections of elected members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Assembly or by the Attorney General.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27567" w:rsidRDefault="00F27567" w:rsidP="00A71C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Parliament may make provision with respect to: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circumstances and manner in which, the time within which and the conditions upon which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 application may be made to the High Court for the determination of a question under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this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section; and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powers practice and procedure of the High Court in relation to the application.”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There can be no doubt from the provision contained in section 44(3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that the Speaker has the power to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 the seat of a member of the National Assembly vacant, but that power is only exercisable by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Speaker where it is shown that “by reason of a provision of this Constitution” the seat ought to be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declared vacant. Section 39(1) of the Constitution sets out the circumstances under which a member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National Assembly shall vacate his seat in the Assembly and those circumstances are that: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member has ceased to be a citizen of Kenya;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. . . (Deleted)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Circumstances arise that if he were not a member of the Assembly, would cause him to be disqualified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section 35(1) or by any law made in pursuance of section 35(3) or (4) to be elected a member; or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without having obtained the permission of the Speaker, he has failed to attend the Assembly on eight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consecutive days on which the Assembly was sitting in session.”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last provision may, however, be waived in respect of such a member by the President. Then section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39(2) provides that an elected member or a nominated member shall vacate his seat as such member if 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elected as Speaker.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that the Constitution even controls the circumstances under which the Speaker may declare the seat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member vacant. The circumstances listed in section 39 are not, of course exhaustive. Pursuant to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44(4) Parliament enacted the National Assembly and Presidential Elections Act, Chapter 7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of Kenya, and Part VI of that Act deals with presentation of petitions which, according to section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44(4) of the Constitution, is the manner of making an application to the High Court for the purpose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determining whether a person has been validly elected as a member of the National Assembly or whether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seat of a member of the National Assembly has become vacant. By section 18 of the National Assembly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Presidential Elections Act: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Speaker has reason to believe that the seat in the National Assembly of a member thereof has become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vacant, he shall call for such evidence on the matter as he thinks necessary and may consult the Attorney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General, and shall thereafter: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If he is satisfied that the seat has become vacant, declare that the seat has become vacant, and publish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 of the declaration in the Gazette; or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If he is not so satisfied refuse to so declare.”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either of these situations, a member whose seat has been declared vacant or a person registered as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voter in elections to the National Assembly may challenge the Speaker’s decision under section 44(3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Constitution. The way to bring such challenge is through a petition as set out in section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19(1) of the Act. Then section 30 of the Act provides: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“30 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conclusion of the trial of a petition, the election court shall determine the question raised in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petition, and shall certify its determination to the Speaker.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Upon receipt of a certificate under this section the Speaker shall give the necessary directions for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altering or confirm the return and shall take such action thereon, pursuant to section 18, as shall be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Neither the Constitution itself nor the Act made pursuant to the Constitution defines what is meant by “a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the National Assembly” and the Constitution itself, apart from setting out the different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processes by which members get to the National Assembly, does not draw any other distinction between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members.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Now,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J by his judgment, wanted the Speaker of the National Assembly to act under section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44 of the Constitution and under section 39 declare the seat of the appellant as being vacant. The parties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aggrieved by the acts or omissions of the Commission for the reasons already stated herein, wanted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seat declared vacant and they approached the High Court by way of judicial review.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 thought he could do so and made the orders we have seen. The appellant was aggrieved by those orders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he appealed to this Court on a total of twenty-five (25) grounds. It is not possible to deal with those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grounds one by one. Suffice it to say that,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color w:val="000000"/>
        </w:rPr>
        <w:t>, the learned lead Counsel for the appellant,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concentrated more on ground one in the memorandum of appeal and that ground was that: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The learned Judge erred in law and fact in failing to appreciate that the procedure for declaration of a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seat in the National Assembly vacant is laid down by the Constitution of Kenya read together with the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National Assembly and Presidential Elections Act (Chapter 7 Laws of Kenya) and that is by way of a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 and not by way of Judicial Review Proceedings. Accordingly, the superior Court had no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jurisdiction to hear and determine the matter.”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Grounds two and three are also relevant at this stage. Those grounds are that: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The learned Judge erred in law and fact in failing to appreciate that the act of transmission by the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Electoral Commission of Kenya of the name of the appellant to the appointing authority, having been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acted upon and implemented by the President of the Republic of Kenya was not legally and factually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available for quashing.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learned Judge erred in law and fact in failing to appreciate that the appellant was appointed as a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nominated member of the National Assembly by the President of the Republic of Kenya by virtue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provisions of section 33 of the Constitution of Kenya and that decision of the President still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remains valid and was not the subject of the Judicial Review Proceedings. Accordingly, the order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issued by the Superior Court was issued in vain.”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ground one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strenuously submitted before us that the procedure or process by which a seat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National Assembly is to be declared vacant is elaborately set out in the Constitution itself and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Act made </w:t>
      </w:r>
      <w:r>
        <w:rPr>
          <w:rFonts w:ascii="Times New Roman" w:hAnsi="Times New Roman" w:cs="Times New Roman"/>
          <w:color w:val="000000"/>
        </w:rPr>
        <w:lastRenderedPageBreak/>
        <w:t xml:space="preserve">pursuant to section 44(4) of the Constitution. Accordingly, submitted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color w:val="000000"/>
        </w:rPr>
        <w:t>, judicial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proceedings were not available to the respondents as not only had the appellant been appointed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of the Assembly by the President, but he had also been sworn in by the Speaker of the National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Assembly. For legal and practical purposes, submitted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color w:val="000000"/>
        </w:rPr>
        <w:t>, the appellant had become a member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National Assembly and, therefore, he could only lose that membership through the procedure set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in the Constitution and the Act.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answer to these submissions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to draw a distinction between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elected members of National Assembly and nominated members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only provides for removal of elected members while there is no provision for dealing with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nominated members of the National Assembly. Accordingly, argued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color w:val="000000"/>
        </w:rPr>
        <w:t>, there being no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provisions for the removal of nominated members, the aggrieved parties were entitled to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invoke the judicial review process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was correct in holding that the judicial review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was, in the circumstances, available to the aggrieved parties.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our part, we have no doubt that though the Commission (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Electoral Commission of Kenya) is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creature of the Constitution itself, and though it is provided in section 41(9) of the Constitution that: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the exercise of its functions under this Constitution the Commission shall not be subject to the direction of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other person or authority,”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yet the Commission is still amenable to the supervisory jurisdiction of the High Court, which jurisdiction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exercised by the High Court through the process of judicial review. Section 123(8)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itself specifically provides that: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provision of this Constitution that a person shall not be subject to the direction or control of any other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or authority in the exercise of any functions under this Constitution shall be construed as precluding a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from exercising jurisdiction in relation to any question whether that person or authority has exercised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those functions in accordance with this Constitution or any other law.”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provision is clearly intended to ensure that the rule of law, which it is the primary duty of the courts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enforce, is complied with by all organs of the state, and no state organ is permitted to say that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confers on it powers the exercise of which cannot be questioned by the courts. The Public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Commission, for example, is also a creature of section 106 of the Constitution and section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106(12) specifically provides that: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this Chapter, the Commission shall, in the exercise of its functions under this Constitution, not be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 to the direction or control of any other person or authority.”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provision, however, has never been a bar nor has it ever been pleaded as a bar to the power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to, for example, quash the decisions of the body by way of certiorari where it is shown that an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of certiorari ought to issue. The point we are making is that the Commission,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Electoral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Kenya, is amenable to the jurisdiction of the High Court and in appropriate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the High Court will intervene in its decision - making processes through the procedure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judicial review. We did not understand even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Adere</w:t>
      </w:r>
      <w:proofErr w:type="spellEnd"/>
      <w:r>
        <w:rPr>
          <w:rFonts w:ascii="Times New Roman" w:hAnsi="Times New Roman" w:cs="Times New Roman"/>
          <w:color w:val="000000"/>
        </w:rPr>
        <w:t>, the learned Counsel for the Commission, to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 way contest that point though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submit that in merely receiving the names of candidates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political parties and forwarding those names to the President for appointment, the Commission was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acting judicially or in a quasi-judicial manner and because of that, the remedy of judicial review was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available to the parties who applied for the same. There is some considerable merit in this submission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because of the view we have taken of the matter, we do not feel called upon to finally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the issue. It must wait for resolution on another occasion.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go back to the basic question: Even if the Commission, in receiving names and forwarding them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President for appointment was acting in a </w:t>
      </w:r>
      <w:proofErr w:type="spellStart"/>
      <w:r>
        <w:rPr>
          <w:rFonts w:ascii="Times New Roman" w:hAnsi="Times New Roman" w:cs="Times New Roman"/>
          <w:color w:val="000000"/>
        </w:rPr>
        <w:t>quasi judicial</w:t>
      </w:r>
      <w:proofErr w:type="spellEnd"/>
      <w:r>
        <w:rPr>
          <w:rFonts w:ascii="Times New Roman" w:hAnsi="Times New Roman" w:cs="Times New Roman"/>
          <w:color w:val="000000"/>
        </w:rPr>
        <w:t xml:space="preserve"> capacity, was the process of judicial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available to the parties offended by the Commission’s actions?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pointed out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drew a distinction between nominated and elected members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National Assembly. With the greatest respect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color w:val="000000"/>
        </w:rPr>
        <w:t>, we cannot find in the Constitution itself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basis for such a distinction. Nominated members get to the National Assembly through a process set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in detail by the Constitution itself. We have already set out the relevant provisions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The first process is to be selected or chosen by a parliamentary political party and each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party will have its own method of choosing its candidate. It appears that at the time the appellant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third respondent were chosen or purported to have been chosen, there were two rival camps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Ford People; that is nothing surprising to find in our political parties. Each camp then sent the names of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to the Commission. The Commission sent the names of the appellant to the President and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 did in fact appoint the appellant as a nominated member of Parliament and the appellant was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duly sworn in by the Speaker as such member. By the time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was delivering his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on 23 April 2004, the appellant was in fact a </w:t>
      </w:r>
      <w:proofErr w:type="gramStart"/>
      <w:r>
        <w:rPr>
          <w:rFonts w:ascii="Times New Roman" w:hAnsi="Times New Roman" w:cs="Times New Roman"/>
          <w:color w:val="000000"/>
        </w:rPr>
        <w:t>member</w:t>
      </w:r>
      <w:proofErr w:type="gramEnd"/>
      <w:r>
        <w:rPr>
          <w:rFonts w:ascii="Times New Roman" w:hAnsi="Times New Roman" w:cs="Times New Roman"/>
          <w:color w:val="000000"/>
        </w:rPr>
        <w:t xml:space="preserve"> of Parliament through the process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nomination. It may well be that the Commission was wrong in choosing to forward to the President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 of the appellant instead </w:t>
      </w:r>
      <w:r>
        <w:rPr>
          <w:rFonts w:ascii="Times New Roman" w:hAnsi="Times New Roman" w:cs="Times New Roman"/>
          <w:color w:val="000000"/>
        </w:rPr>
        <w:lastRenderedPageBreak/>
        <w:t>of that of the third respondent. But even if the process of nomination was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faulty, the appellant, through that faulty process, became a member of the National Assembly and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sets out in detail the procedure for removing a member from the Assembly. There are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basically two routes of becoming a member of the Assembly through election and through nomination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those two routes are set out by the Constitution. But in terms of removal, the Constitution has set out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one process; we would have expected that if the makers of the Constitution had wanted different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ways of removing members from the Assembly, they would have specifically spelt out two ways as they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with entry into the Assembly. Clearly, it would be unreasonable to think that if a nominated member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were, for example, declared bankrupt and thus become disqualified, then the only way to remove him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to go to the High Court through the judicial review process. That would be totally unnecessary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untenable as the Constitution itself has provided for the manner of removing members from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Assembly. Under section 44(1)(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Constitution, the High Court has jurisdiction to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 the question of whether a seat in the Assembly has become vacant and section 18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 and Presidential Elections Act, as we have seen, gives the Speaker of the Assembly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to declare a seat vacant if: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.he is satisfied that the seat has become vacant,”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all the Speaker is required to do is that: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“. . 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shall call for such evidence on the matter as he thinks necessary and may consult the Attorney General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. 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section does not bind the Speaker to act only on documentary evidence, but it must be admissible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acceptable evidence. Section 40 of the Constitution, for example, provides: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member of the National Assembly who, having stood at his election as an elected member with the support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or as a supporter of a political party or having accepted appointment as a nominated member as a supporter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political party, either: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Resigns from that party at a time when that party is a parliamentary party; or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(b</w:t>
      </w:r>
      <w:r>
        <w:rPr>
          <w:rFonts w:ascii="Times New Roman" w:hAnsi="Times New Roman" w:cs="Times New Roman"/>
          <w:color w:val="000000"/>
          <w:sz w:val="20"/>
          <w:szCs w:val="20"/>
        </w:rPr>
        <w:t>) Having, after the dissolution of that party been a member of another parliamentary party, resigns from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other party at a time when that other party is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parliamentary party, shall vacate his seat forthwith unless in the meantime that party of which he was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last a member has ceased to exist as a parliamentary party or he has resigned his seat.”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Under this section, read in conjunction with section 18 of the Act, if admissible and acceptable evidence,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we repeat, not necessarily documentary evidence, were to be placed before the Speaker that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 has resigned from the party which sponsored him to the National Assembly, the Speaker would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perfectly entitled to declare the seat of such a member vacant. No distinction is drawn between an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elected member and a nominated member and if the Speaker does declare a seat vacant, the only remedy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open to the member is to move to the High Court under section 44 of the Constitution.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think we have said enough to show that a seat in the National Assembly can only be declared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vacant under the circumstances stated in the Constitution and through the processes set out therein. That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has always been the position taken by the courts in previous decisions. There is, first the case of </w:t>
      </w:r>
      <w:r>
        <w:rPr>
          <w:rFonts w:ascii="Times New Roman" w:hAnsi="Times New Roman" w:cs="Times New Roman"/>
          <w:i/>
          <w:iCs/>
          <w:color w:val="000000"/>
        </w:rPr>
        <w:t>The</w:t>
      </w:r>
      <w:r w:rsidR="00A71C0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Speaker of the National Assembly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Karume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Nairobi 92 of 1992 [Nairobi 40/92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UR] (UR). This was, of course an application for a stay of some orders of the High Court under rule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 Appeal Rules, and that being the position, no concluded views could be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expressed. But the Court of Appeal, consisting of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Cockar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Muli</w:t>
      </w:r>
      <w:proofErr w:type="spellEnd"/>
      <w:r>
        <w:rPr>
          <w:rFonts w:ascii="Times New Roman" w:hAnsi="Times New Roman" w:cs="Times New Roman"/>
          <w:color w:val="000000"/>
        </w:rPr>
        <w:t xml:space="preserve"> JJA did state as follows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ruling dated 29 May 1992: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our view, there is considerable merit in the submission that where there is a clear procedure for the redress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any particular grievance prescribed by the Constitution or an Act of Parliament, that procedure should be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strictly followed. We observe without expressing a concluded view that Order LIII of the Civil Procedure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Rules cannot oust clear constitutional and statutory provisions.”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Next there was the case </w:t>
      </w:r>
      <w:r>
        <w:rPr>
          <w:rFonts w:ascii="Times New Roman" w:hAnsi="Times New Roman" w:cs="Times New Roman"/>
          <w:i/>
          <w:iCs/>
          <w:color w:val="000000"/>
        </w:rPr>
        <w:t xml:space="preserve">Richard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Chirchir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Henry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Cheboiwo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which was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by this Court on 24 December 2002. In that case which was started by a plaint an order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was granted by this Court stopping a returning officer from publishing election result in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 constituency and in granting the injunction, the Court, composed of </w:t>
      </w:r>
      <w:proofErr w:type="spellStart"/>
      <w:r>
        <w:rPr>
          <w:rFonts w:ascii="Times New Roman" w:hAnsi="Times New Roman" w:cs="Times New Roman"/>
          <w:color w:val="000000"/>
        </w:rPr>
        <w:t>Gachuhi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Cockar</w:t>
      </w:r>
      <w:proofErr w:type="spellEnd"/>
      <w:r>
        <w:rPr>
          <w:rFonts w:ascii="Times New Roman" w:hAnsi="Times New Roman" w:cs="Times New Roman"/>
          <w:color w:val="000000"/>
        </w:rPr>
        <w:t xml:space="preserve"> JJA apparently rejected the argument that the only way to come to Court in regard to matters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arising under the National Assembly and Presidential Elections Act was through an election petition. But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Kimani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Nyoike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Electoral Commission of Kenya and another </w:t>
      </w:r>
      <w:r>
        <w:rPr>
          <w:rFonts w:ascii="Times New Roman" w:hAnsi="Times New Roman" w:cs="Times New Roman"/>
          <w:color w:val="000000"/>
        </w:rPr>
        <w:t>civil application number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Nairobi 213 of 1995 [96/95 UR] (UR) the Court did point out that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Chirchir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Cheboiwo</w:t>
      </w:r>
      <w:proofErr w:type="spellEnd"/>
      <w:r w:rsidR="00A71C0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the Court did not at all refer to its earlier remarks made in the </w:t>
      </w:r>
      <w:r>
        <w:rPr>
          <w:rFonts w:ascii="Times New Roman" w:hAnsi="Times New Roman" w:cs="Times New Roman"/>
          <w:i/>
          <w:iCs/>
          <w:color w:val="000000"/>
        </w:rPr>
        <w:t xml:space="preserve">Speaker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Karume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Kimani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Nyoike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Court concluded as follows: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think the procedure for addressing grievances arising from elections is through an election petition and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is exactly what the Court was saying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Karume</w:t>
      </w:r>
      <w:r>
        <w:rPr>
          <w:rFonts w:ascii="Times New Roman" w:hAnsi="Times New Roman" w:cs="Times New Roman"/>
          <w:color w:val="000000"/>
          <w:sz w:val="20"/>
          <w:szCs w:val="20"/>
        </w:rPr>
        <w:t>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). That view had full support in authority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both local and foreign.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Raphael Samson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Kithika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Mbondo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Luka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Daudi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Galgalo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and Paul Joseph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Ngei</w:t>
      </w:r>
      <w:proofErr w:type="spellEnd"/>
      <w:r w:rsidR="00A71C0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election petition number 16 of 1974 (UR) it was alleged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Ngei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his supporters had in effect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physically prevented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Mbondo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presenting his nomination papers.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Mbondo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however, did not go to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High Court by way of a plaint to compel the returning officer or anyone else to accept his papers. He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waited until the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results were published and then he filed an election petition. The election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Ngei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nullified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Ngei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found guilty of an election offence.”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then continued as follows: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“What we are saying is that there are special procedures when it comes to matters of election and those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procedures ought to be strictly followed as the Court observed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Karume</w:t>
      </w:r>
      <w:r>
        <w:rPr>
          <w:rFonts w:ascii="Times New Roman" w:hAnsi="Times New Roman" w:cs="Times New Roman"/>
          <w:color w:val="000000"/>
          <w:sz w:val="20"/>
          <w:szCs w:val="20"/>
        </w:rPr>
        <w:t>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case 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would unhesitatingly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prefer to base our decision on the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Karume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case rather than the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Cheboiwo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case.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Queen v The</w:t>
      </w:r>
      <w:r w:rsidR="00A71C0A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County Judge of Essex and Clark </w:t>
      </w:r>
      <w:r>
        <w:rPr>
          <w:rFonts w:ascii="Times New Roman" w:hAnsi="Times New Roman" w:cs="Times New Roman"/>
          <w:color w:val="000000"/>
          <w:sz w:val="20"/>
          <w:szCs w:val="20"/>
        </w:rPr>
        <w:t>[1887] 18 QB 704 which was cited to us is also to similar effect.”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jurisprudence underlying these decisions is that the Constitution itself and the National Assembly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Presidential Elections Act deal with and set out in detail the procedure of challenging elections and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nominations to the National Assembly. Those procedures ought to be followed and the judicial review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process, which in Kenya is provided for in the Law Reform Act, Chapter 26 of the Laws of Kenya and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LIII of the Civil Procedure Rules cannot oust the provisions of the Constitution in particular.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Reform Act and Order LIII of the Civil Procedure Rules are both inferior to and can only apply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to the provisions of the Constitution. No doubt, mistakes even grievous mistakes, will be made in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process of elections or nominations but such mistakes cannot be used to stop the electoral or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nomination process. In filing either their plaint or the judicial review process now under consideration,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clear intention of the parties aggrieved by the action of the Commission was to stop the Commission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proceeding with the process of nominating the appellant. If the Commission can be stopped from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completing the process of nomination, it can also be stopped from completing the process of elections.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cannot be allowed because if it were to be allowed, the country may well end up having no members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National Assembly as there undoubtedly will be interventions by the courts in the process of either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electing or nominating members to the National Assembly.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J’s orders are a clear example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intervention, and inevitably such interventions might well become the order of the day if ordinary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processes of approaching the courts – such as by way of a plaint, originating summons or judicial review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– were to be allowed to take root in the electoral processes. It is to be remembered that neither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nor the National Assembly and Presidential Elections Act, makes provisions for interim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reliefs such as injunctions, orders of stay and so on during the hearing of an election petition. If an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were to be issuable against a sitting member of the National Assembly, the effect of that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to render the constituency represented by such a member to be without a representative during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the petition, however long the hearing may last. Again if a plaint was filed seeking to stop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electoral process from going on and an interim injunction were to be issued pending the hearing and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suit the people in the electoral area involved in the suit would be virtually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disenfranchised pending the hearing and determination of the suit. In this particular case when an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leave to apply for the orders was made, an order was also sought that the leave granted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to act as a stay. Had the latter order been granted the process of nomination would have come to a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grinding halt and probably </w:t>
      </w:r>
      <w:proofErr w:type="spellStart"/>
      <w:r>
        <w:rPr>
          <w:rFonts w:ascii="Times New Roman" w:hAnsi="Times New Roman" w:cs="Times New Roman"/>
          <w:color w:val="000000"/>
        </w:rPr>
        <w:t>upto</w:t>
      </w:r>
      <w:proofErr w:type="spellEnd"/>
      <w:r>
        <w:rPr>
          <w:rFonts w:ascii="Times New Roman" w:hAnsi="Times New Roman" w:cs="Times New Roman"/>
          <w:color w:val="000000"/>
        </w:rPr>
        <w:t xml:space="preserve"> this time, Ford People would still be without its nominated </w:t>
      </w:r>
      <w:proofErr w:type="gramStart"/>
      <w:r>
        <w:rPr>
          <w:rFonts w:ascii="Times New Roman" w:hAnsi="Times New Roman" w:cs="Times New Roman"/>
          <w:color w:val="000000"/>
        </w:rPr>
        <w:t>member.</w:t>
      </w:r>
      <w:proofErr w:type="gramEnd"/>
      <w:r>
        <w:rPr>
          <w:rFonts w:ascii="Times New Roman" w:hAnsi="Times New Roman" w:cs="Times New Roman"/>
          <w:color w:val="000000"/>
        </w:rPr>
        <w:t xml:space="preserve">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framers of the Constitution must have had these considerations in mind when dealing with the issue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petitions and come to the conclusion that it would be far much better to have even a defective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than no election at all and that after the members have all joined the National Assembly those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whose elections are subsequently found to have been defective can be weeded out through election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petitions and fresh elections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for the particular area(s). The same considerations must apply to nominated members. That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take such a long time to hear and determine election petitions is a serious blot upon the judicial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system. But that blot must find its solution elsewhere and the solution does not lie in employing other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methods except those provided for in the Constitution.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basic fallacy underlying the judgment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seems to us to be that he seems to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thought that he was merely stopping the Commission in proceeding with the process of nomination.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as we have said, even if the process employed by the Commission in deciding which of the two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persons should be sent to the President for appointment was entirely defective, the process had been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completed by the President appointing the appellant as a member of the National Assembly. It must be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realization which made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to issue some of the orders directed at the Speaker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 to take unspecified measures to carry out the learned Judge’s quashing of the acts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 which led to the appointment of the appellant. But the Speaker, like all of us are bound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Constitution and the National Assembly and Presidential Elections Act. There was no reason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could have led the Speaker to declare the seat held by the appellant vacant. Such a declaration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only be done within the confines set out in the Constitution. The other alternative for the learned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was to issue to the Speaker a certificate of determination under section 29 of the National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Assembly and </w:t>
      </w:r>
      <w:r>
        <w:rPr>
          <w:rFonts w:ascii="Times New Roman" w:hAnsi="Times New Roman" w:cs="Times New Roman"/>
          <w:color w:val="000000"/>
        </w:rPr>
        <w:lastRenderedPageBreak/>
        <w:t>Presidential Elections Act. But the learned Judge would have had no jurisdiction to issue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certificate because there was no election petition before him. Perhaps the learned Judge was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asking the Speaker to carry out an investigation under section 18 of the Act to determine if the seat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become vacant. It would be inappropriate for the High Court to make such an order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is not to be forgotten that the declaration by the Speaker that a seat held by a member has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vacant is itself challengeable in the High Court through an election petition and there would be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reason for the High Court to involve itself in such a circus.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said enough, we think to show that the procedure of judicial review, like that of plaint or any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like procedure, is and was not available to the parties aggrieved by the acts or omissions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Commission. We re-assert, as we previously did, that the only valid way of challenging the outcome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electoral process, and for that purpose nominating members to the National Assembly is part of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electoral process, is through an election petition as provided in the Constitution and the National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and Presidential Elections Act. Section 44 of the Constitution merely talks of an “application”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made to the High Court. But section 19(1) of the Act specifically provides that the application to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“shall be made by way of petition.”</w:t>
      </w:r>
      <w:r w:rsidR="00A71C0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That has been the way, is the way and shall continue to be the way until and unless Parliament decrees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otherwise. Accordingly the notice of motion dated 28 February 2003 and which was brought under Order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LIII pursuant to the leave granted on 17 February 2003, was for dismissal and ought to have been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dismissed.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erred in allowing that motion.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being our view, the Court’s final orders shall be that we allow this appeal, set aside each and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every order made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>’ and replace those orders with one dismissing the notice of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 dated 28 February 2003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and lodged in High Court on 3 March 2003. In view of that holding the notice of cross-appeal lodged by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third, fourth, fifth, sixth and seventh respondents has no chance of success and we order that it is also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costs, this dispute arose simply because of the indiscipline in Ford People; had they not had two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camps in the same party, they would have agreed on one person to recommend for nomination.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himself was part of that indiscipline and so were the third, fourth, fifth, sixth and seventh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respondents. As for the Commission,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second respondent, it adamantly refused to disclose to the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aggrieved by its acts or omissions the basis upon which it had chosen to forward to the President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name of the appellant and not that of the third respondent. In the circumstances, the order on costs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commends itself to us is and shall be that each and every party to the litigation shall bear their own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in the High Court and in this Court.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we leave the matter, may we express our sincere thanks and appreciation to each and every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their research and </w:t>
      </w:r>
      <w:proofErr w:type="gramStart"/>
      <w:r>
        <w:rPr>
          <w:rFonts w:ascii="Times New Roman" w:hAnsi="Times New Roman" w:cs="Times New Roman"/>
          <w:color w:val="000000"/>
        </w:rPr>
        <w:t>diligence.</w:t>
      </w:r>
      <w:proofErr w:type="gramEnd"/>
      <w:r>
        <w:rPr>
          <w:rFonts w:ascii="Times New Roman" w:hAnsi="Times New Roman" w:cs="Times New Roman"/>
          <w:color w:val="000000"/>
        </w:rPr>
        <w:t xml:space="preserve"> We have not found it necessary to deal with the authorities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presented by them before us, particularly those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as usual, did all he could to advance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of his clients. We have not dealt with the cases simply because of the view which we have taken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regard to whether the remedy of judicial review was available to the parties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A71C0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  <w:r>
        <w:rPr>
          <w:rFonts w:ascii="Times New Roman" w:hAnsi="Times New Roman" w:cs="Times New Roman"/>
          <w:color w:val="000000"/>
        </w:rPr>
        <w:t>. We must nevertheless express our appreciation for the industry and diligence shown by counsel.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final orders of the Court shall be those already set out herein.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A71C0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Orengo</w:t>
      </w:r>
      <w:proofErr w:type="spellEnd"/>
    </w:p>
    <w:p w:rsidR="00F27567" w:rsidRDefault="00F27567" w:rsidP="00F27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AB7022" w:rsidRDefault="00F27567" w:rsidP="00F27567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Kihara</w:t>
      </w:r>
      <w:proofErr w:type="spellEnd"/>
    </w:p>
    <w:sectPr w:rsidR="00AB7022" w:rsidSect="00A71C0A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23CD"/>
    <w:multiLevelType w:val="hybridMultilevel"/>
    <w:tmpl w:val="640A6656"/>
    <w:lvl w:ilvl="0" w:tplc="0F7688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67"/>
    <w:rsid w:val="00A71C0A"/>
    <w:rsid w:val="00AB7022"/>
    <w:rsid w:val="00F2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26E9C-32C4-4D0F-A610-39CE539C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7194</Words>
  <Characters>41011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2018-07-05T06:30:00Z</dcterms:created>
  <dcterms:modified xsi:type="dcterms:W3CDTF">2018-07-13T06:40:00Z</dcterms:modified>
</cp:coreProperties>
</file>