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Kungu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Diamond Trust (K) Ltd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July 2000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4/00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Hire purchase – Agreement – Interest – Penal interest – Whether a party who received notice that his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default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triggered the levying of penal interest without demur is precluded from challenging the rate of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interest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charged.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Hire purchase – Contract – Frustration – Breach of hire purchase agreement – Whether defaulting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can rely on its on breach as a basis of a claim that the contract had been frustrated.</w:t>
      </w:r>
    </w:p>
    <w:p w:rsidR="00F26C90" w:rsidRDefault="00B34F9B" w:rsidP="00B34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26C90" w:rsidRDefault="00F26C90" w:rsidP="00B34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KWACH, TUNOI AND KEIWUA JJA</w:t>
      </w:r>
      <w:r>
        <w:rPr>
          <w:rFonts w:ascii="Times New Roman" w:hAnsi="Times New Roman" w:cs="Times New Roman"/>
          <w:color w:val="000000"/>
        </w:rPr>
        <w:t>: This is an appeal from the decision of the superior court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J) delivered on 13 August 1999, in its civil case number 382 of 1999 in which the Learned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granted the Plaintiff’s application brought under Order 6, Rule 13(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and under Order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35, Rule 1 of the Civil Procedure Rules and section 3A of the Civil Procedure Act. The application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prayed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be struck out and summary judgment to be entered as prayed in the plaint which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prayed for judgment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18 169 994-10 and interest on that sum at the rate of 40% per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annum from 1 January 1999. The Plaintiff’s claim stemmed from a hire purchase agreement between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and the Defendants in respect whereof the Defendants defaulted in performance, in that they did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remit to the Plaintiff the agreed hire rentals payable for hire and use of the Plaintiff’s lorry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number KAA 088V Isuzu. The Defendants had admitted the defaults on their part and have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admitted a further breach of the agreement of hire purchase when they removed and took the vehicle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jurisdiction to Zaïre. The Defendants under the hire purchase agreement had the option to pay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a cash price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5.3 million which they did not go for but that sum together with hire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purchase charges amounting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2 695 610-80 became payable by 36 monthly hire rentals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222 100-30 commencing on 19 November 1994.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were on 17 May 1995, notified by the Plaintiff that their account was in arrears to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tune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1 402 964 and should be paid within 14 days thereof. On 30 April 1996 another letter was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sent indicating that the account was at that time in arrears to the tune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2 797 746-25 and payment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requested, failing which, the Plaintiff was to charge penal interest at the rate of 40% per annum.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replied and promised payment without raising any objection as to interest or the rate of it.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did not respond thereafter and did not inform the Plaintiff that the vehicle, under hire to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them, had been commandeered by insurgents in Zaïre. The Plaintiff attempted through </w:t>
      </w:r>
      <w:proofErr w:type="spellStart"/>
      <w:r>
        <w:rPr>
          <w:rFonts w:ascii="Times New Roman" w:hAnsi="Times New Roman" w:cs="Times New Roman"/>
          <w:color w:val="000000"/>
        </w:rPr>
        <w:t>repossessors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repossess this vehicle but all efforts came to </w:t>
      </w:r>
      <w:proofErr w:type="spellStart"/>
      <w:r>
        <w:rPr>
          <w:rFonts w:ascii="Times New Roman" w:hAnsi="Times New Roman" w:cs="Times New Roman"/>
          <w:color w:val="000000"/>
        </w:rPr>
        <w:t>nought</w:t>
      </w:r>
      <w:proofErr w:type="spellEnd"/>
      <w:r>
        <w:rPr>
          <w:rFonts w:ascii="Times New Roman" w:hAnsi="Times New Roman" w:cs="Times New Roman"/>
          <w:color w:val="000000"/>
        </w:rPr>
        <w:t>. It seems that the first time the Defendants disclosed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vehicle was lost was when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filed in court in May 1999. In that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Defendants, surprisingly, blamed the Plaintiff for failing to retrieve the vehicle from the insurgents.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accusation by the Defendants sounds thoroughly dishonest. The Defendants were, under the hire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agreement, bound not to take the vehicle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out of Kenya, unless prior agreement to do so was obtained from the Plaintiff. To our minds the alleged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disappearance of the vehicle is suspect in the extreme. The Defendants did not deem it fit to place any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disappearance of the vehicle before either the superior court or this Court. There is no proof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any report had been made to the authorities, either in Zaïre or in Kenya. There is yet another riddle in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case, which is this. In their joint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Defendants plead that, because of the feigned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disappearance of the vehicle, the hire purchase agreement had been frustrated and the Defendants were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longer under a duty thereafter, to pay for the hire of the lorry. In our judgment such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is does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avail to the Defendants because the hire purchase agreement did not provide for such an eventuality,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enable the Defendants to take refuge in the doctrine of frustration of contract. The other reason why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plea will not do, is because the hire purchase agreement prohibited the taking or removal of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out of Kenya. But, in defiance of that provision, the Defendants brazenly opted for that risk. In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judgment, the Defendants should not be heard to want to blame the Plaintiff for their own deliberate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and indefensible misadventure.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were addressed at length on the chargeability of interest under the agreement either at penal rates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at all. We have elsewhere in this judgment, pointed out that the Plaintiff had, before it brought the suit,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warned the Defendants of risking a charge of penal interest at the rate of 40% per annum unless they paid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sums they were in arrears with. The Defendants did not heed, and only have themselves to blame.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in paragraphs 6 and 7 together with prayer (b) thereof claimed interest at the rate of 40% per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annum. The Defendants in their sham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did not plead to those claims in the plaint with the result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claim for interest, either at penal rate or otherwise, has not been challenged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behalf of the Defendants. In view of all these failings on the part of the Defendants to bring to the fore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, we do not see how the Learned Judge can be blamed for not exercising his discretion, in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favour, to grant leave to defend the claim. We accordingly dismiss the appeal with costs to the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B34F9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F26C90" w:rsidRDefault="00F26C90" w:rsidP="00F26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F26C90" w:rsidP="00F26C90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90"/>
    <w:rsid w:val="003F18BF"/>
    <w:rsid w:val="00B34F9B"/>
    <w:rsid w:val="00F2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7225-6828-4C8D-A12F-F6DC51F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2018-07-05T10:33:00Z</dcterms:created>
  <dcterms:modified xsi:type="dcterms:W3CDTF">2018-07-13T06:44:00Z</dcterms:modified>
</cp:coreProperties>
</file>