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LZ Engineering Construction Ltd v Deposit Protection Fund Board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December 2000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244/00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Court of Appeal – Notice of appeal – Time of appeal –Suspension of time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 application for copies of proceedings – Whether the letter requesting proceedings should be filed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copied to all Respondents – Whether the notice of appeal Court of Appeal Rules – Proviso to Rule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85(1).</w:t>
      </w:r>
    </w:p>
    <w:p w:rsidR="001A6D2A" w:rsidRDefault="00780342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1A6D2A">
        <w:rPr>
          <w:rFonts w:ascii="Times New Roman" w:hAnsi="Times New Roman" w:cs="Times New Roman"/>
          <w:i/>
          <w:iCs/>
          <w:color w:val="000000"/>
        </w:rPr>
        <w:t>[2] Practice and procedure – Court of appeal – Notice of appeal – Service of documents – How service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be effected – Rule 17(1) – Court of Appeal Rules.</w:t>
      </w:r>
    </w:p>
    <w:p w:rsidR="001A6D2A" w:rsidRDefault="00780342" w:rsidP="007803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TUNOI, SHAH AND OWUOR JJA: </w:t>
      </w:r>
      <w:r>
        <w:rPr>
          <w:rFonts w:ascii="Times New Roman" w:hAnsi="Times New Roman" w:cs="Times New Roman"/>
          <w:color w:val="000000"/>
        </w:rPr>
        <w:t>We have before us an application brought under Rules 42(1) and</w:t>
      </w:r>
    </w:p>
    <w:p w:rsidR="00780342" w:rsidRDefault="001A6D2A" w:rsidP="00780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80 of the Rules of this Court (“the Rules”) whereby the Applicant, LZ Engineering Construction Ltd,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seeks an order for striking out of the notice of appeal lodged by the First Respondent, Deposit Protection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 Board, on the ground that the First Respondent has failed to file its intended appeal within the time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by Rule 81 of the Rules.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facts leading to the application are that the judgment of the superior court (Ole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JA as he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is but sitting as a judge of the superior court at the material time) was delivered on 31 May 2000.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lodged a notice of appeal to challenge that judgment. That notice of appeal lodged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13 June 2000 was in time. In the body thereof the First Respondent stated that it intended to serve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copies of the said notice of appeal upon:</w:t>
      </w:r>
      <w:r w:rsidR="00780342">
        <w:rPr>
          <w:rFonts w:ascii="Times New Roman" w:hAnsi="Times New Roman" w:cs="Times New Roman"/>
          <w:color w:val="000000"/>
        </w:rPr>
        <w:t xml:space="preserve"> </w:t>
      </w:r>
    </w:p>
    <w:p w:rsidR="001A6D2A" w:rsidRDefault="001A6D2A" w:rsidP="00780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“1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Esmail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Esmail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Advocates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Corner House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Kimathi Street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 O Box 11021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 Ramesh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Manek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Esquire Advocate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Agip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House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Haile Selassie Avenue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 O Box 14635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Okwach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Pioneer House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Avenue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 O Box 52831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NAIROBI”.</w:t>
      </w:r>
    </w:p>
    <w:p w:rsidR="001A6D2A" w:rsidRDefault="001A6D2A" w:rsidP="00780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common ground that a copy of the said notice of appeal was not served on Ramesh </w:t>
      </w:r>
      <w:proofErr w:type="spellStart"/>
      <w:r>
        <w:rPr>
          <w:rFonts w:ascii="Times New Roman" w:hAnsi="Times New Roman" w:cs="Times New Roman"/>
          <w:color w:val="000000"/>
        </w:rPr>
        <w:t>Manek</w:t>
      </w:r>
      <w:proofErr w:type="spellEnd"/>
      <w:r>
        <w:rPr>
          <w:rFonts w:ascii="Times New Roman" w:hAnsi="Times New Roman" w:cs="Times New Roman"/>
          <w:color w:val="000000"/>
        </w:rPr>
        <w:t>, Esquire,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 for the Second Respondent, Yaya Towers Ltd </w:t>
      </w: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the purposes of this application it is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immaterial whether or not a copy thereof was served on M/s </w:t>
      </w:r>
      <w:proofErr w:type="spellStart"/>
      <w:r>
        <w:rPr>
          <w:rFonts w:ascii="Times New Roman" w:hAnsi="Times New Roman" w:cs="Times New Roman"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advocates.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Although the application before us was originally a two-pronged one,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>, who appears for the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has abandoned one of those prongs namely that although the First Respondent was in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copies of proceedings and judgment by 9 June 2000 it failed to lodge the appeal by 9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August 2000. As this ground stands abandoned we will not delve into it.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main prong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application is that the First Respondent did not send a copy of the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letter bespeaking a copy of the proceedings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Ramesh </w:t>
      </w:r>
      <w:proofErr w:type="spellStart"/>
      <w:r>
        <w:rPr>
          <w:rFonts w:ascii="Times New Roman" w:hAnsi="Times New Roman" w:cs="Times New Roman"/>
          <w:color w:val="000000"/>
        </w:rPr>
        <w:t>Manek</w:t>
      </w:r>
      <w:proofErr w:type="spellEnd"/>
      <w:r>
        <w:rPr>
          <w:rFonts w:ascii="Times New Roman" w:hAnsi="Times New Roman" w:cs="Times New Roman"/>
          <w:color w:val="000000"/>
        </w:rPr>
        <w:t xml:space="preserve"> or to M/s </w:t>
      </w:r>
      <w:proofErr w:type="spellStart"/>
      <w:r>
        <w:rPr>
          <w:rFonts w:ascii="Times New Roman" w:hAnsi="Times New Roman" w:cs="Times New Roman"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and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that there was no indication that the letter requesting a copy of the proceedings was ever filed in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superior court registry.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>, in the affidavit sworn in support of the application, in regard to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lodgment of the said letter with the registry of the superior court says: “Further, there is no indication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copy of this letter (that is the letter requesting copy of the proceedings, dated 22 June 2000) when,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at all, the letter was filed in court”.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replying affidavit sworn on behalf </w:t>
      </w:r>
      <w:r>
        <w:rPr>
          <w:rFonts w:ascii="Times New Roman" w:hAnsi="Times New Roman" w:cs="Times New Roman"/>
          <w:color w:val="000000"/>
        </w:rPr>
        <w:lastRenderedPageBreak/>
        <w:t xml:space="preserve">of the First Respondent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Peter Le Pelley</w:t>
      </w:r>
      <w:r>
        <w:rPr>
          <w:rFonts w:ascii="Times New Roman" w:hAnsi="Times New Roman" w:cs="Times New Roman"/>
          <w:color w:val="000000"/>
        </w:rPr>
        <w:t>, Advocate,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no denial of the above-stated averment. Nor did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Le Pelley </w:t>
      </w:r>
      <w:r>
        <w:rPr>
          <w:rFonts w:ascii="Times New Roman" w:hAnsi="Times New Roman" w:cs="Times New Roman"/>
          <w:color w:val="000000"/>
        </w:rPr>
        <w:t xml:space="preserve">respond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Court on that issue during the course of the hearing before us. We can therefore only assume that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said letter was not on the file of the superior court.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Le Pelley</w:t>
      </w:r>
      <w:r>
        <w:rPr>
          <w:rFonts w:ascii="Times New Roman" w:hAnsi="Times New Roman" w:cs="Times New Roman"/>
          <w:color w:val="000000"/>
        </w:rPr>
        <w:t>’s affidavit in response to this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has annexed to it an affidavit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sworn on 1 December 2000 wherein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 w:rsidR="0078034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deposed to the same fact as follows: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“2. I have on more than one occasion searched the file in the Superior Court relating to High Court civil</w:t>
      </w:r>
      <w:r w:rsidR="007803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 number 3791 of 1993 in order to find out: when, if at all, the First Respondent’s advocates’ letter</w:t>
      </w:r>
      <w:r w:rsidR="007803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22 June 2000 addressed to the Registrar of the Superior Court seeking a copy of all proceedings</w:t>
      </w:r>
      <w:r w:rsidR="007803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therein was filed in the Superior Court; however despite these efforts I have not been able to find this</w:t>
      </w:r>
      <w:r w:rsidR="007803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letter on the Court files relating to the said case”.</w:t>
      </w:r>
      <w:r w:rsidR="007803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Faced with these depositions and in the absence of anything having been said in regard thereto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Le</w:t>
      </w:r>
      <w:r w:rsidR="0078034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Pelley</w:t>
      </w:r>
      <w:r>
        <w:rPr>
          <w:rFonts w:ascii="Times New Roman" w:hAnsi="Times New Roman" w:cs="Times New Roman"/>
          <w:color w:val="000000"/>
        </w:rPr>
        <w:t>, we called for the file of the superior court. We were also unable to trace that letter in the superior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file of HCCC number 3791 of 1993. Therefore, the proviso to Rule 81(1) of the Rules does not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enure</w:t>
      </w:r>
      <w:proofErr w:type="spellEnd"/>
      <w:r>
        <w:rPr>
          <w:rFonts w:ascii="Times New Roman" w:hAnsi="Times New Roman" w:cs="Times New Roman"/>
          <w:color w:val="000000"/>
        </w:rPr>
        <w:t xml:space="preserve"> to the benefit of the First Respondent and the intended appeal, hence, ought to have been lodged by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about 13 August 2000. Such appeal not having been filed by that date the notice of appeal becomes a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dead letter and is deemed to be withdrawn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There is yet another issue.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Le Pelley </w:t>
      </w:r>
      <w:r>
        <w:rPr>
          <w:rFonts w:ascii="Times New Roman" w:hAnsi="Times New Roman" w:cs="Times New Roman"/>
          <w:color w:val="000000"/>
        </w:rPr>
        <w:t xml:space="preserve">argued that the firm of M/s </w:t>
      </w:r>
      <w:proofErr w:type="spellStart"/>
      <w:r>
        <w:rPr>
          <w:rFonts w:ascii="Times New Roman" w:hAnsi="Times New Roman" w:cs="Times New Roman"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>, advocates,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been served with a copy of the letter requesting a copy of the proceedings,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a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Yaya Towers Ltd, there is a good enough service of that letter on Yaya Towers Ltd by way of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informal notification. In support of this argument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Le Pelley </w:t>
      </w:r>
      <w:r>
        <w:rPr>
          <w:rFonts w:ascii="Times New Roman" w:hAnsi="Times New Roman" w:cs="Times New Roman"/>
          <w:color w:val="000000"/>
        </w:rPr>
        <w:t>relied on Rule 81(2) of the Rules which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reads: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“(2) An appellant shall not be entitled to rely on the proviso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subrule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(1) unless his application for such</w:t>
      </w:r>
      <w:r w:rsidR="007803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copy was in writing and a copy of it was sent to the respondent”.</w:t>
      </w:r>
      <w:r w:rsidR="007803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Le Pelley </w:t>
      </w:r>
      <w:r>
        <w:rPr>
          <w:rFonts w:ascii="Times New Roman" w:hAnsi="Times New Roman" w:cs="Times New Roman"/>
          <w:color w:val="000000"/>
        </w:rPr>
        <w:t xml:space="preserve">urged was that service on M/s </w:t>
      </w:r>
      <w:proofErr w:type="spellStart"/>
      <w:r>
        <w:rPr>
          <w:rFonts w:ascii="Times New Roman" w:hAnsi="Times New Roman" w:cs="Times New Roman"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 xml:space="preserve">, advocates, in which firm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78034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partner, is good enough service on the Second Respondent, Yaya Towers Ltd, whose director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is, as Rule 81(2) caters for service on the respondent and not its advocate.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service of a document is to be effected it cannot be argued that an informal notification could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to good service. Rule 17(1) of the Rules expressly provides that in the absence of any special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 the service shall be made personally on the person to be served or any person entitled under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22 to appear on his behalf. Rule 17(2) of the Rules provides that if an advocate is on record it shall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sufficient if one copy of that document is served on that advocate. There is nothing in the Rules to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suggest, even remotely, that informal notification is good service. Quite clearly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Manek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to be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with a copy of that letter. He was not served so that yet again the proviso to Rule 81(1) of the</w:t>
      </w:r>
      <w:r w:rsidR="007803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Rules does not </w:t>
      </w:r>
      <w:proofErr w:type="spellStart"/>
      <w:r>
        <w:rPr>
          <w:rFonts w:ascii="Times New Roman" w:hAnsi="Times New Roman" w:cs="Times New Roman"/>
          <w:color w:val="000000"/>
        </w:rPr>
        <w:t>enure</w:t>
      </w:r>
      <w:proofErr w:type="spellEnd"/>
      <w:r>
        <w:rPr>
          <w:rFonts w:ascii="Times New Roman" w:hAnsi="Times New Roman" w:cs="Times New Roman"/>
          <w:color w:val="000000"/>
        </w:rPr>
        <w:t xml:space="preserve"> to the benefit of the First Respondent. The appeal not having been filed on or by 13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August 2000 the notice of appeal is a dead letter.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those two limbs only we order that the notice of appeal lodged in the superior court by the First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on 13 June 2000 be struck out. The Applicant will have the costs of this application.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</w:p>
    <w:p w:rsidR="001A6D2A" w:rsidRDefault="001A6D2A" w:rsidP="001A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1A6D2A" w:rsidP="001A6D2A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Le Pelley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2A"/>
    <w:rsid w:val="001A6D2A"/>
    <w:rsid w:val="003F18BF"/>
    <w:rsid w:val="0078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AD5A3-DCFF-4E05-8B31-98305EB9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2018-07-05T10:38:00Z</dcterms:created>
  <dcterms:modified xsi:type="dcterms:W3CDTF">2018-07-13T07:33:00Z</dcterms:modified>
</cp:coreProperties>
</file>