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LZ Engineering Construction Ltd v Trade Bank Ltd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17 October 2000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196/00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Shah JJA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Court of Appeal – Contents of the record of appeal – Whether signed copy of judgment or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typed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copy of rulings required – Rule 85 – Court of Appeal Rules.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12B6C" w:rsidRDefault="008B643C" w:rsidP="0091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Applicant, LZ Engineering Construction Limited (“L”), applied to have Trade Bank Limited’s notice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struck out on the ground that the time to lodge a record of appeal had expired. Trade Bank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(“T”) on lodging the notice of appeal, had written a letter to the registrar requesting certified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copies of proceedings and ruling. L obtained a typed but uncertified copy of the proceedings and served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on T’s advocates. T’s advocates however continued to await a certified copy of the proceedings.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 filed the instant application arguing that the time to file the record of appeal had expired after T had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obtained the typed proceedings but failed to act on them.</w:t>
      </w:r>
      <w:r w:rsidR="00912B6C">
        <w:rPr>
          <w:rFonts w:ascii="Times New Roman" w:hAnsi="Times New Roman" w:cs="Times New Roman"/>
          <w:color w:val="000000"/>
        </w:rPr>
        <w:t xml:space="preserve"> </w:t>
      </w:r>
    </w:p>
    <w:p w:rsidR="00912B6C" w:rsidRDefault="00912B6C" w:rsidP="0091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B643C" w:rsidRDefault="008B643C" w:rsidP="0091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Appellant was wrong in asking for a certified copy of proceedings. A typed copy is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sufficient. Hence the time taken to acquire a certified copy of the proceedings would not be included in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reckoning of time to lodge the notice of appeal. This time had already expired.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Mawli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912B6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</w:t>
      </w:r>
      <w:r>
        <w:rPr>
          <w:rFonts w:ascii="Times New Roman" w:hAnsi="Times New Roman" w:cs="Times New Roman"/>
          <w:color w:val="000000"/>
        </w:rPr>
        <w:t xml:space="preserve">[1992] LLR 2778 (CAK), </w:t>
      </w:r>
      <w:r>
        <w:rPr>
          <w:rFonts w:ascii="Times New Roman" w:hAnsi="Times New Roman" w:cs="Times New Roman"/>
          <w:i/>
          <w:iCs/>
          <w:color w:val="000000"/>
        </w:rPr>
        <w:t>Republic v The Minister of Transport and Communications and another</w:t>
      </w:r>
      <w:r w:rsidR="00912B6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[1996] LLR 487 (CAK), </w:t>
      </w:r>
      <w:r>
        <w:rPr>
          <w:rFonts w:ascii="Times New Roman" w:hAnsi="Times New Roman" w:cs="Times New Roman"/>
          <w:i/>
          <w:iCs/>
          <w:color w:val="000000"/>
        </w:rPr>
        <w:t xml:space="preserve">Mau West Ltd v Kenya Co-operative Creameries Ltd </w:t>
      </w:r>
      <w:r>
        <w:rPr>
          <w:rFonts w:ascii="Times New Roman" w:hAnsi="Times New Roman" w:cs="Times New Roman"/>
          <w:color w:val="000000"/>
        </w:rPr>
        <w:t>[1998] LLR 822 (CAK),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Muichigi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[1999] LLR 1006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(CAK) followed; </w:t>
      </w:r>
      <w:r>
        <w:rPr>
          <w:rFonts w:ascii="Times New Roman" w:hAnsi="Times New Roman" w:cs="Times New Roman"/>
          <w:i/>
          <w:iCs/>
          <w:color w:val="000000"/>
        </w:rPr>
        <w:t xml:space="preserve">Equatorial Commercial Bank Ltd and another v Ibis Aviation Ltd </w:t>
      </w:r>
      <w:r>
        <w:rPr>
          <w:rFonts w:ascii="Times New Roman" w:hAnsi="Times New Roman" w:cs="Times New Roman"/>
          <w:color w:val="000000"/>
        </w:rPr>
        <w:t>[2000] LLR</w:t>
      </w:r>
      <w:r w:rsidR="00912B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1201(CAK) distinguished.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notice of appeal was struck out.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ruling: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Equatorial Commercial Bank Ltd and another v Ibis Aviation Ltd </w:t>
      </w:r>
      <w:r>
        <w:rPr>
          <w:rFonts w:ascii="Times New Roman" w:hAnsi="Times New Roman" w:cs="Times New Roman"/>
          <w:color w:val="000000"/>
        </w:rPr>
        <w:t xml:space="preserve">[2000] LLR 1201 (CAK)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Muichigi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[1999] LLR 1006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Mau West Ltd v Kenya Co-operative Creameries Ltd </w:t>
      </w:r>
      <w:r>
        <w:rPr>
          <w:rFonts w:ascii="Times New Roman" w:hAnsi="Times New Roman" w:cs="Times New Roman"/>
          <w:color w:val="000000"/>
        </w:rPr>
        <w:t xml:space="preserve">[1998] LLR 822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B643C" w:rsidRDefault="008B643C" w:rsidP="008B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Mawli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[1992] LLR 2778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64035" w:rsidRDefault="008B643C" w:rsidP="008B643C">
      <w:r>
        <w:rPr>
          <w:rFonts w:ascii="Times New Roman" w:hAnsi="Times New Roman" w:cs="Times New Roman"/>
          <w:i/>
          <w:iCs/>
          <w:color w:val="000000"/>
        </w:rPr>
        <w:t xml:space="preserve">Republic v The Minister of Transport and Communications and another </w:t>
      </w:r>
      <w:r>
        <w:rPr>
          <w:rFonts w:ascii="Times New Roman" w:hAnsi="Times New Roman" w:cs="Times New Roman"/>
          <w:color w:val="000000"/>
        </w:rPr>
        <w:t xml:space="preserve">[1996] LLR 487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3C"/>
    <w:rsid w:val="00664035"/>
    <w:rsid w:val="008B643C"/>
    <w:rsid w:val="0091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C0642-22CB-4971-A293-BD8A80BE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2018-07-05T12:09:00Z</dcterms:created>
  <dcterms:modified xsi:type="dcterms:W3CDTF">2018-07-13T07:34:00Z</dcterms:modified>
</cp:coreProperties>
</file>