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LZ Engineering Construction Ltd v Trade Bank Ltd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17 October 2000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196/00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Shah JJA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Court of Appeal – Contents of the record of appeal – Whether signed copy of judgment or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typed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copy of rulings required – Rule 85 – Court of Appeal Rules.</w:t>
      </w:r>
    </w:p>
    <w:p w:rsidR="00435A24" w:rsidRDefault="00195A19" w:rsidP="00195A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195A19" w:rsidRDefault="00435A24" w:rsidP="0019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CHUNGA CJ, TUNOI and SHAH JJA: </w:t>
      </w:r>
      <w:r>
        <w:rPr>
          <w:rFonts w:ascii="Times New Roman" w:hAnsi="Times New Roman" w:cs="Times New Roman"/>
          <w:color w:val="000000"/>
        </w:rPr>
        <w:t>On 2 March 2000, the superior court (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J) struck out a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filed by the Respondent, Trade Bank Ltd (in liquidation), against the Applicant LZ Engineering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Ltd. The Respondent lodged, in time, a notice of appeal against the decision of the Learned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Judge. The Respondent’s advocates, by their letter of 3 March 2000, requested the registry of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to supply to them certified copies of the proceedings and ruling, presumably to enable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to lodge an appeal against the said decision. The letter beseeching certified copies of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and ruling was copied to the advocates for the Applicant.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application was lodged on 18 July 2000. The Applicant seeks an order to strike out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notice of appeal and also seeks incidental orders for costs. The application is based on the grounds in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AAK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>, advocate for the Applicant. The said grounds as stated and as argued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us can be briefly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  <w:r w:rsidR="00195A19">
        <w:rPr>
          <w:rFonts w:ascii="Times New Roman" w:hAnsi="Times New Roman" w:cs="Times New Roman"/>
          <w:color w:val="000000"/>
        </w:rPr>
        <w:t xml:space="preserve"> </w:t>
      </w:r>
    </w:p>
    <w:p w:rsidR="00435A24" w:rsidRDefault="00435A24" w:rsidP="0019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The Respondent was wrong in applying for certified copies of the proceedings and judgment when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record of appeal need not contain such certified copies.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Uncertified copies of the proceedings and ruling were available to the Respondent by 12 May 2000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enable it to lodge an appeal within 60 days of 12 May 2000.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As wrong copies (certified as opposed to uncertified) were applied by the time to lodge the appeal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expired on 15 May 2000.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There was no order in the superior court file </w:t>
      </w:r>
      <w:proofErr w:type="spellStart"/>
      <w:r>
        <w:rPr>
          <w:rFonts w:ascii="Times New Roman" w:hAnsi="Times New Roman" w:cs="Times New Roman"/>
          <w:color w:val="000000"/>
        </w:rPr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liquidator of the Respondent to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appoint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 as advocates to commence the process of mounting the intended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81(1) of the Rules of this Court (“the Rules”) reads: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“81(1) Subject to provisions of Rule 112, an appeal shall be instituted by lodging in the appropriate registry,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60 days of the date when the notice of appeal was lodged: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memorandum of appeal, in quadruplicate;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record of appeal, in quadruplicate;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prescribed fee; and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 w:rsidR="00195A19">
        <w:rPr>
          <w:rFonts w:ascii="Times New Roman" w:hAnsi="Times New Roman" w:cs="Times New Roman"/>
          <w:color w:val="000000"/>
          <w:sz w:val="20"/>
          <w:szCs w:val="20"/>
        </w:rPr>
        <w:t>) security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costs of the appeal; . . .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Provided that where an application for a copy of the proceedings in the superior court has been made in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accordance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subRule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(2) within 30 days of the date of the decision against which it is desired to appeal,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shall, in computing the time within which the appeal is to be instituted, be excluded such time as may be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certified by the registrar of the superior court as having been required for the preparation and delivery to the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of such copy”.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85(1) of the Rules in material parts provides that a record of appeal shall, amongst other documents,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 the following: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trial Judge’s notes of the hearing;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judgment or the order; and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certified copy of the decree or order”.</w:t>
      </w:r>
    </w:p>
    <w:p w:rsidR="00435A24" w:rsidRDefault="00435A24" w:rsidP="0019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above-quoted two Rules show what documents, among others, are necessary to prepare and lodge a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appeal and a simple reading of them shows that certified copies of the proceedings and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are not necessary to prepare a record of appeal.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aware of the requirements of the type of documents necessary to mount an appeal and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appears that, </w:t>
      </w:r>
      <w:r>
        <w:rPr>
          <w:rFonts w:ascii="Times New Roman" w:hAnsi="Times New Roman" w:cs="Times New Roman"/>
          <w:i/>
          <w:iCs/>
          <w:color w:val="000000"/>
        </w:rPr>
        <w:t xml:space="preserve">ex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abundanti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cautela</w:t>
      </w:r>
      <w:proofErr w:type="spellEnd"/>
      <w:r>
        <w:rPr>
          <w:rFonts w:ascii="Times New Roman" w:hAnsi="Times New Roman" w:cs="Times New Roman"/>
          <w:color w:val="000000"/>
        </w:rPr>
        <w:t>, he applied for uncertified copies of the proceedings and the ruling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his letter of 8 March 2000 addressed to the registry of the superior court. He managed to obtain those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documents on 10 May 2000 and forwarded copies of the same to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 Advocates who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confirmed to the registry of the superior court that they had received copies of the proceedings and ruling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that they had not received either a certified copy of the proceedings </w:t>
      </w:r>
      <w:r>
        <w:rPr>
          <w:rFonts w:ascii="Times New Roman" w:hAnsi="Times New Roman" w:cs="Times New Roman"/>
          <w:color w:val="000000"/>
        </w:rPr>
        <w:lastRenderedPageBreak/>
        <w:t>or a copy of the ruling signed by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himself. It must be pointed out at this stage that there is no requirement for including a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signed copy of any ruling sought to be appealed against. Judges sign the original only, generally.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M/s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Advocates, wrote to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Company, on 5 June 2000 pointing out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time for lodging the intended appeal had expired. Even at that stage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insisted that the registry had to supply to them certified copies of the proceedings and ruling. This was by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letter of 9 June 2000 addressed to the registry of the superior court. M/s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>, under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cover of their letter of 9 June 2000 sent to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 signed copy of the decree. It is to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noted that by then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had all that they needed to lodge the appeal.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’s</w:t>
      </w:r>
      <w:proofErr w:type="gramEnd"/>
      <w:r>
        <w:rPr>
          <w:rFonts w:ascii="Times New Roman" w:hAnsi="Times New Roman" w:cs="Times New Roman"/>
          <w:color w:val="000000"/>
        </w:rPr>
        <w:t xml:space="preserve"> argument before this Court is that time for lodging the record of appeal has expired and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therefore the notice of appeal ought to be struck out as the Respondent has not taken the essential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step of lodging the record of appeal in time.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he could not have lodged the record of appeal without certified copies of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as well as the ruling, as he could not, in the absence thereof, obtain a certificate of delay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inclusion in the record of appeal. He pointed out to this Court the words used in the proviso to Rule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81(1) of the Rules which words are “preparation and delivery”. The said proviso has been earlier set out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us in full. As we understood him,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is that only the registrar of the superior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can certify the period taken for such “preparation and delivery”. Ordinarily that is so. But in this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 the registrar could, eventually, have certified the period of “preparation and delivery” of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certified copies as indeed requested by M/s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Company, Advocates.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took issue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actions geared towards obtaining the uncertified copies. It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behooves a party wishing to bring an end to litigation to try to expedite the process of an appeal. There is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wrong in that as it is a matter of public policy that litigation ought to end as soon as practically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possible. We therefore find nothing unusual or improper in 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steadfastly insisted that he could only have applied for certified copies to mount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as otherwise he could not have signed the certificate as provided for in Rule 85(5) of the Rules,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Rule mandates the Appellant to certify that the record of appeal is correct as per documents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supplied to him by the superior court. The normal format thereof is as follows: “Certified correct and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prepared to accord with copies as supplied by the High Court”.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quite clear that Rule 85(5) of the Rules gives leeway to the Appellant to cover any typographical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inadvertent mistakes that may creep in when the registry of the superior court types out the requisite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copies. It does not suggest that such certificate can only be issued when the requisite copies are certified,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opposed to uncertified.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on to argue further that the time for lodgment of the record of appeal had not run out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he had repeatedly reminded the registry to prepare and deliver to him the said certified copies without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response from the registry. We are unable to agree with that contention. Repeated reminders for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preparation of documents not required to lodge an appeal cannot assist a party applying for the same.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required to lodge an appeal cannot be extended, in other words, by requests for wrong documents.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propounded an argument to the effect that as an advocate applying for such copies is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bear the costs of copying and certifying he can only rely on a document supplied by the court itself.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argument cannot stand. If necessary documents are available and the advocate becomes aware of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availability then the advocate becomes duty bound to obtain those documents to start the process of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mounting the appeal. A similar issue arose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Mawli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[1992] LLR 2778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(CAK). In that case – a decision of the full Bench, confirming the decision of a single judge –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appellant’s advocates insisted on being supplied with certified copies of proceedings and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despite having known that uncertified copies of proceedings and the ruling were available.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fact they knew of, as another advocate (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Hira) using uncertified copies, had already filed and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on those advocates a record of appeal, in connection with the same subject matter. Yet they took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action towards mounting the intended appeal. This Court said: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quite probable that M/s A.R.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Co Advocates were not aware of the 1985 amendments until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time they were served with the record of appeal filed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Hira on 4 October 1990. On that date or soon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thereafter M/s A 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Co Advocates could easily have seen that the record of appeal did not require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certified copy of the proceedings or even the judgment or ruling. The only requirement for a certified copy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left was that of the decree or order appealed against and we would venture to state that the difficulties created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legal notice Number 14 of 1984 (which brought the requirement of certified copies of almost all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documents needed for a record, of appeal) were well known to counsel regularly appearing before this Court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complaints in that regard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led to amendment of Rule 85(1) by legal notice Number 101 of 1985”.</w:t>
      </w:r>
      <w:r w:rsidR="00195A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It was also decided by this Court in the case of </w:t>
      </w:r>
      <w:r>
        <w:rPr>
          <w:rFonts w:ascii="Times New Roman" w:hAnsi="Times New Roman" w:cs="Times New Roman"/>
          <w:i/>
          <w:iCs/>
          <w:color w:val="000000"/>
        </w:rPr>
        <w:t>Republic v The Minister of Transport and</w:t>
      </w:r>
      <w:r w:rsidR="00195A1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Communications and another </w:t>
      </w:r>
      <w:r>
        <w:rPr>
          <w:rFonts w:ascii="Times New Roman" w:hAnsi="Times New Roman" w:cs="Times New Roman"/>
          <w:color w:val="000000"/>
        </w:rPr>
        <w:t>[1996] LLR 487 (CAK) that “time needed for certifying copies of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and judgments or rulings is not to be excluded in computing such time for the simple reason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record of appeal does not need certified copies of proceedings, judgments or orders”.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</w:t>
      </w:r>
      <w:r>
        <w:rPr>
          <w:rFonts w:ascii="Times New Roman" w:hAnsi="Times New Roman" w:cs="Times New Roman"/>
          <w:i/>
          <w:iCs/>
          <w:color w:val="000000"/>
        </w:rPr>
        <w:t xml:space="preserve">Mau West Ltd v Kenya Co-operative Creameries Ltd </w:t>
      </w:r>
      <w:r>
        <w:rPr>
          <w:rFonts w:ascii="Times New Roman" w:hAnsi="Times New Roman" w:cs="Times New Roman"/>
          <w:color w:val="000000"/>
        </w:rPr>
        <w:t>[1998] LLR 822 (CAK) a single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of this Court (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JA) held in no uncertain terms as follows: “I only need to add that no party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needs a certified copy of the judgment to enable it mount a competent appeal; all that is required to be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certified is the decree or order extracted from the judgment or the ruling”.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similar view was expressed by a full Bench of this Court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</w:t>
      </w:r>
      <w:r w:rsidR="00195A19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Muichigi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[1999] LLR 1006 (CAK).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to the case of </w:t>
      </w:r>
      <w:r>
        <w:rPr>
          <w:rFonts w:ascii="Times New Roman" w:hAnsi="Times New Roman" w:cs="Times New Roman"/>
          <w:i/>
          <w:iCs/>
          <w:color w:val="000000"/>
        </w:rPr>
        <w:t>Equatorial Commercial Bank Ltd</w:t>
      </w:r>
      <w:r w:rsidR="00195A1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v Ibis Aviation Ltd </w:t>
      </w:r>
      <w:r>
        <w:rPr>
          <w:rFonts w:ascii="Times New Roman" w:hAnsi="Times New Roman" w:cs="Times New Roman"/>
          <w:color w:val="000000"/>
        </w:rPr>
        <w:t>[2000] LLR 1201 (CAK) in which case this Court held that if the registry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superior court selectively (emphasis supplied) delivers copies to advocates on the other side (and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of the intended appellant) the blame for delay cannot lie at the door of the intended appellant. In that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although fees for copies of proceedings and the ruling were paid for on 16 February 2000 the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 of the superior court did not deliver the same to the advocates for the intended appellant until 3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July 2000 and that too was done after several reminders and visits to the registry. That case is clearly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distinguishable. In this case,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the trouble to send copies of court-supplied proceedings and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office.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our reckoning the time to lodge the record of appeal has already expired. The notice of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has therefore become a dead letter. It is ordered struck out. The Applicant will have costs of this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application. Having come to this decision we need not go into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’s</w:t>
      </w:r>
      <w:proofErr w:type="gramEnd"/>
      <w:r>
        <w:rPr>
          <w:rFonts w:ascii="Times New Roman" w:hAnsi="Times New Roman" w:cs="Times New Roman"/>
          <w:color w:val="000000"/>
        </w:rPr>
        <w:t xml:space="preserve"> second point, that is, whether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not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or at all obtained leave under section 241 of the Companies Act to file and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 the intended appeal.</w:t>
      </w:r>
      <w:r w:rsidR="00195A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 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</w:p>
    <w:p w:rsidR="00435A24" w:rsidRDefault="00435A24" w:rsidP="0043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435A24" w:rsidP="00435A24"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24"/>
    <w:rsid w:val="00195A19"/>
    <w:rsid w:val="00435A24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21875-1950-4735-8DF6-89922BF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2018-07-05T12:11:00Z</dcterms:created>
  <dcterms:modified xsi:type="dcterms:W3CDTF">2018-07-13T07:36:00Z</dcterms:modified>
</cp:coreProperties>
</file>