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Ladak v Registrar of Buildings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Dodoma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February 1973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2/1973 (50/74)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Kwikima Ag J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Inherent jurisdiction – Injunction, grant of – Threatened eviction by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landlord for non-payment of rent before assessment of standard rent – Civil procedure 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95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Landlord and Tenant – Owner of acquired building – Tenancy protected by Rent Restriction Act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479)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) – </w:t>
      </w:r>
      <w:r>
        <w:rPr>
          <w:rFonts w:ascii="Times New Roman" w:hAnsi="Times New Roman" w:cs="Times New Roman"/>
          <w:i/>
          <w:iCs/>
          <w:color w:val="000000"/>
        </w:rPr>
        <w:t xml:space="preserve">Rent Restriction – Acquisition of Buildings Act </w:t>
      </w:r>
      <w:r>
        <w:rPr>
          <w:rFonts w:ascii="Times New Roman" w:hAnsi="Times New Roman" w:cs="Times New Roman"/>
          <w:color w:val="000000"/>
        </w:rPr>
        <w:t xml:space="preserve">1971,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7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Injunction – Tenant’s threatened eviction by landlord for non-payment of rent before assessment of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standard rent – Injunction granted – Civil Procedure 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95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was the owner of a building which had been acquired under the Acquisition of Buildings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1971. He had challenged the acquisition in the manner provided.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was in possession of part of the building, and the respondent had demanded rent from</w:t>
      </w:r>
      <w:r w:rsidR="005079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On his failure to pay the respondent proposed to evict the applicant.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applied under the court’s inherent jurisdiction for an injunction restraining his eviction</w:t>
      </w:r>
      <w:r w:rsidR="005079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argued that he was a tenant to whom the Rent Restriction Act (Cap. 479) applied, that no standard</w:t>
      </w:r>
      <w:r w:rsidR="0050796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rent had been fixed and that he could not therefore be in arrears.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court would exercise its inherent jurisdiction;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a former owner is a tenant to whom the Rent Restriction Act applies;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as no standard rent had been assessed the applicant was not in arrears and could not be evicted.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granted.</w:t>
      </w:r>
    </w:p>
    <w:p w:rsidR="0003077F" w:rsidRDefault="0003077F" w:rsidP="000307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6B48C8" w:rsidRDefault="0003077F" w:rsidP="0003077F">
      <w:r>
        <w:rPr>
          <w:rFonts w:ascii="Times New Roman" w:hAnsi="Times New Roman" w:cs="Times New Roman"/>
          <w:b/>
          <w:bCs/>
          <w:color w:val="000000"/>
        </w:rPr>
        <w:t>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7F"/>
    <w:rsid w:val="0003077F"/>
    <w:rsid w:val="00507965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47D3-7F97-4010-9DE5-95A4B352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2018-07-05T13:32:00Z</dcterms:created>
  <dcterms:modified xsi:type="dcterms:W3CDTF">2018-07-13T07:00:00Z</dcterms:modified>
</cp:coreProperties>
</file>