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Ladak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Registrar of Buildings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Dodoma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February 1973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2/1973 (50/74)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Kwikima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Inherent jurisdiction – Injunction, grant of – Threatened eviction by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landlord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non-payment of rent before assessment of standard rent – Civil procedure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95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Landlord and Tenant – Owner of acquired building – Tenancy protected by Rent Restriction Act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479)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) – </w:t>
      </w:r>
      <w:r>
        <w:rPr>
          <w:rFonts w:ascii="Times New Roman" w:hAnsi="Times New Roman" w:cs="Times New Roman"/>
          <w:i/>
          <w:iCs/>
          <w:color w:val="000000"/>
        </w:rPr>
        <w:t xml:space="preserve">Rent Restriction – Acquisition of Buildings Act </w:t>
      </w:r>
      <w:r>
        <w:rPr>
          <w:rFonts w:ascii="Times New Roman" w:hAnsi="Times New Roman" w:cs="Times New Roman"/>
          <w:color w:val="000000"/>
        </w:rPr>
        <w:t xml:space="preserve">1971,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7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Injunction – Tenant’s threatened eviction by landlord for non-payment of rent before assessment of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standard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rent – Injunction granted – Civil Procedure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95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D2F04" w:rsidRDefault="005D2F04" w:rsidP="005D2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25B39" w:rsidRDefault="005D2F04" w:rsidP="00425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Kwikima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Ag J: </w:t>
      </w:r>
      <w:r>
        <w:rPr>
          <w:rFonts w:ascii="Times New Roman" w:hAnsi="Times New Roman" w:cs="Times New Roman"/>
          <w:color w:val="000000"/>
        </w:rPr>
        <w:t>The applicant was in this case the owner of the premises before the respondent acquired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under the Building Acquisition 1971 (hereafter referred as the Act.) The applicant seeks to move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to invoke its inherent power to prevent the respondent abusing court process, by evicting him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premises.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urging the court to act as he prays, the applicant relies on s. 95 of the Civil Procedure Code which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reads: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“95. Nothing in this Code shall be deemed to limit or otherwise affect the inherent power of the court to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make such orders as may be necessary for the ends of justice or to prevent abuse of the process of the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court.”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the applicant’s contention, undisputed by the respondent, that this is the only way open to him since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suit touching his dispute with the respondent has been filed in court. He cannot therefore seek an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otherwise than under the procedure he suggests. I think he is right and I will now proceed to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 the application on its merits.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submission counsel for the applicant argued that the building was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 acquired. He said that under s. 6 (1) of the Act the building, which was unrented and wholly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occupied by the applicant and his sons, ought not to have been acquired. To this end the applicant has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petitioned the Commissioner for Lands as well as the Buildings Acquisitions Appeals Tribunal for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redress. Decisions on these petitions are still pending. In the meantime the Assistant Registrar of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Buildings has demanded arrears of rent to the tune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20,000/-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per month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time when the building was acquired under the Act. It is the applicant’s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such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 is premature on account of the pendency of the rulings on his petitions and on account of the rent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having fixed no standard rent for part of the premises occupied by the applicant. It is the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main contention that the eviction threatened by the respondent is abusive of court process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such eviction is only possible by order of court as by s. 7 (2) of the Act specified.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 the respondent admits that the applicant has indeed petitioned. He does not agree, however,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building was wrongly acquired. His reply is that the premises were occupied by a corporate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as well as the two sons of the applicant who were self-supporting and therefore not the applicant’s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dependants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occupancy by these sons exposed the building to the </w:t>
      </w:r>
      <w:proofErr w:type="spellStart"/>
      <w:r>
        <w:rPr>
          <w:rFonts w:ascii="Times New Roman" w:hAnsi="Times New Roman" w:cs="Times New Roman"/>
          <w:color w:val="000000"/>
        </w:rPr>
        <w:t>rigours</w:t>
      </w:r>
      <w:proofErr w:type="spellEnd"/>
      <w:r>
        <w:rPr>
          <w:rFonts w:ascii="Times New Roman" w:hAnsi="Times New Roman" w:cs="Times New Roman"/>
          <w:color w:val="000000"/>
        </w:rPr>
        <w:t xml:space="preserve"> of the Act. And, although the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acquisition of the building may still be in dispute, the building now belongs to the respondent and rent is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due. The rent demanded is not </w:t>
      </w:r>
      <w:proofErr w:type="spellStart"/>
      <w:r>
        <w:rPr>
          <w:rFonts w:ascii="Times New Roman" w:hAnsi="Times New Roman" w:cs="Times New Roman"/>
          <w:color w:val="000000"/>
        </w:rPr>
        <w:t>exhorbitant</w:t>
      </w:r>
      <w:proofErr w:type="spellEnd"/>
      <w:r>
        <w:rPr>
          <w:rFonts w:ascii="Times New Roman" w:hAnsi="Times New Roman" w:cs="Times New Roman"/>
          <w:color w:val="000000"/>
        </w:rPr>
        <w:t xml:space="preserve"> because the portion occupied by </w:t>
      </w:r>
      <w:proofErr w:type="spellStart"/>
      <w:r>
        <w:rPr>
          <w:rFonts w:ascii="Times New Roman" w:hAnsi="Times New Roman" w:cs="Times New Roman"/>
          <w:color w:val="000000"/>
        </w:rPr>
        <w:t>Natex</w:t>
      </w:r>
      <w:proofErr w:type="spellEnd"/>
      <w:r>
        <w:rPr>
          <w:rFonts w:ascii="Times New Roman" w:hAnsi="Times New Roman" w:cs="Times New Roman"/>
          <w:color w:val="000000"/>
        </w:rPr>
        <w:t xml:space="preserve"> is rented at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1,000/-. The respondent admitted that the rent was arbitrarily fixed and that it is not the standard rent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defined under 2 (1) of the Act.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I adjourned the application in order to write this ruling, I ordered that the threatened eviction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await my decision. Having carefully gone through the provisions of the Act, I am not certain that I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reject the application. Both parties agree that the applicant occupies part of his acquired building.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case therefore falls under s. 7 (2) of the Act which provides that: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an owner elects to occupy a portion of the building as a tenant of the Registrar, the provisions of the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Rent Restriction Act 1962, shall apply to the parties in the same manner as they apply to tenant and a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landlord. . . .”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these words are taken in their ordinary sense and meaning, and there is no reason to assume that they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any hidden meaning, the applicant can only be evicted by court order, whatever the amount in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arrears he may owe the respondent. For, according to the Rent Restriction Act (Cap. 479) s. 11 A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):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“All claims, proceedings or other matters of civil nature arising out of this Act or any of the provisions thereof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 respect of which jurisdiction is not specifically conferred upon the Tribunal shall be commenced in the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and the court shall have jurisdiction . . .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to make orders upon such terms and conditions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as it shall think fit, for the recovery of possession and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payment of arrears of rent . . . which orders may be applicable to any person . . . being at any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time in occupation or possession of any premises.”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can be gathered from the provisions just cited that since the applicant occupies a part of his acquired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building, the respondent can neither recover arrears of rent from him nor evict him without filing a suit in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obtaining judgment for the purpose. That would, I think, settle this dispute, except for the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argument that in his intended action he relied on s. 12 of the Act. It would be injudicious to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conclude this ruling without alluding to this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section reads:</w:t>
      </w:r>
      <w:r w:rsidR="00425B39">
        <w:rPr>
          <w:rFonts w:ascii="Times New Roman" w:hAnsi="Times New Roman" w:cs="Times New Roman"/>
          <w:color w:val="000000"/>
        </w:rPr>
        <w:t xml:space="preserve"> </w:t>
      </w:r>
    </w:p>
    <w:p w:rsidR="005D2F04" w:rsidRDefault="005D2F04" w:rsidP="00425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“12. All premises in respect of which the Registrar is landlord within the meaning assigned to that term . . .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exempt from all provisions of that Act which operate so as to confer upon a tenant a statutory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tenancy upon the determination of his contractual tenancy where the contractual tenancy is determined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reason of non-payment of rent on the due date or non-compliance of any other term of the tenancy.”</w:t>
      </w:r>
      <w:r w:rsidR="00425B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the respondent’s argument that the applicant should be evicted under this section on account of his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in arrears.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face of it this argument is quite attractive but I would reject it for two reasons. Firstly I would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 out that because no standard rent has been fixed by the Rent Tribunal as by law required, the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cannot legitimately be said to be in arrears until such time as the standard rent is fixed.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to my mind the Act creates a third category of tenant besides the two categories of contractual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statutory tenant under the Rent Restriction Act. Such a tenant is the former owner whose terms are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under s. 7 of the Act. The law is quite clear about him. Such tenant unlike the tenant who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contracts with the respondent is governed by the Rent Restriction Act. I would therefore, with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considerably humility and respect, reject the respondent’s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s. 12 of the Act really applies to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applicant. Accordingly, I would grant the application and order that the applicant enjoy quiet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premises until such time as the respondent shall, in accordance with the law, seek and</w:t>
      </w:r>
      <w:r w:rsidR="00425B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a court order to evict him.</w:t>
      </w:r>
    </w:p>
    <w:p w:rsidR="006B48C8" w:rsidRDefault="005D2F04" w:rsidP="005D2F04"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04"/>
    <w:rsid w:val="00425B39"/>
    <w:rsid w:val="005D2F04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60DEB-15F5-4D23-8928-825B8708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2018-07-05T13:33:00Z</dcterms:created>
  <dcterms:modified xsi:type="dcterms:W3CDTF">2018-07-13T06:59:00Z</dcterms:modified>
</cp:coreProperties>
</file>