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05D" w:rsidRDefault="00F9005D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Langat v Kenya Posts and Telecommunications Corporation</w:t>
      </w:r>
    </w:p>
    <w:p w:rsidR="00F9005D" w:rsidRDefault="00F9005D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F9005D" w:rsidRDefault="00F9005D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March 2000</w:t>
      </w:r>
    </w:p>
    <w:p w:rsidR="00F9005D" w:rsidRDefault="00F9005D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144/99</w:t>
      </w:r>
    </w:p>
    <w:p w:rsidR="00F9005D" w:rsidRDefault="00F9005D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F9005D" w:rsidRDefault="00F9005D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9005D" w:rsidRDefault="00F9005D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F9005D" w:rsidRDefault="00F9005D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Employment – Wrongful dismissal – Appellant employee of Kenya Posts and Telecommunications</w:t>
      </w:r>
    </w:p>
    <w:p w:rsidR="00F9005D" w:rsidRDefault="00F9005D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Corporation – Appellant dismissed in 1992 – Whether suit brought within time – Section 109 – Kenya</w:t>
      </w:r>
    </w:p>
    <w:p w:rsidR="00F9005D" w:rsidRDefault="00F9005D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Posts and Telecommunications Act (chapter 411).</w:t>
      </w:r>
    </w:p>
    <w:p w:rsidR="00F9005D" w:rsidRDefault="00F9005D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9005D" w:rsidRDefault="00F9005D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employed by the Kenya Posts and Telecommunications Corporation (KPTC). In</w:t>
      </w:r>
    </w:p>
    <w:p w:rsidR="00F9005D" w:rsidRDefault="00F9005D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October 1991 he was dismissed from employment. In October 1997 the Applicant filed suit against</w:t>
      </w:r>
    </w:p>
    <w:p w:rsidR="008C0C88" w:rsidRDefault="00F9005D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KPTC for wrongful dismissal, damages, salary </w:t>
      </w:r>
      <w:r>
        <w:rPr>
          <w:rFonts w:ascii="Times New Roman" w:hAnsi="Times New Roman" w:cs="Times New Roman"/>
          <w:i/>
          <w:iCs/>
          <w:color w:val="000000"/>
        </w:rPr>
        <w:t xml:space="preserve">in lieu </w:t>
      </w:r>
      <w:r>
        <w:rPr>
          <w:rFonts w:ascii="Times New Roman" w:hAnsi="Times New Roman" w:cs="Times New Roman"/>
          <w:color w:val="000000"/>
        </w:rPr>
        <w:t>of notice and pension. At the hearing KPTC raised</w:t>
      </w:r>
      <w:r w:rsidR="008C0C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preliminary objection that the Applicant had not complied with section 109 of the KPTC Act that is,</w:t>
      </w:r>
      <w:r w:rsidR="008C0C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not given the Respondent one month notice of the suit and had not brought suit within one year of the</w:t>
      </w:r>
      <w:r w:rsidR="008C0C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 the cause of action arose. The High Court upheld these objections and dismissed the Appellant’s suit</w:t>
      </w:r>
      <w:r w:rsidR="008C0C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whereupon this appeal was provoked.</w:t>
      </w:r>
      <w:r w:rsidR="008C0C88">
        <w:rPr>
          <w:rFonts w:ascii="Times New Roman" w:hAnsi="Times New Roman" w:cs="Times New Roman"/>
          <w:color w:val="000000"/>
        </w:rPr>
        <w:t xml:space="preserve"> </w:t>
      </w:r>
    </w:p>
    <w:p w:rsidR="008C0C88" w:rsidRDefault="008C0C88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9005D" w:rsidRDefault="00F9005D" w:rsidP="00F9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Appellant had not discharged his duty to show that the statutory one month notice had been</w:t>
      </w:r>
      <w:r w:rsidR="008C0C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 on the Respondent and that the suit had been brought within one year after the cause of action</w:t>
      </w:r>
      <w:r w:rsidR="008C0C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arose.</w:t>
      </w:r>
      <w:r w:rsidR="008C0C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Applicant’s claim fell within section 109 of the KPTC Act and the section had not been satisfied.</w:t>
      </w:r>
    </w:p>
    <w:p w:rsidR="003F18BF" w:rsidRDefault="00F9005D" w:rsidP="00F9005D">
      <w:r>
        <w:rPr>
          <w:rFonts w:ascii="Times New Roman" w:hAnsi="Times New Roman" w:cs="Times New Roman"/>
          <w:color w:val="000000"/>
        </w:rPr>
        <w:t>Appeal dismissed with costs. No cases referred to in judgment.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5D"/>
    <w:rsid w:val="003F18BF"/>
    <w:rsid w:val="008C0C88"/>
    <w:rsid w:val="00F9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52313-2262-4771-AC2D-6DA31C11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2018-07-05T10:36:00Z</dcterms:created>
  <dcterms:modified xsi:type="dcterms:W3CDTF">2018-07-13T07:01:00Z</dcterms:modified>
</cp:coreProperties>
</file>