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Langat v Kenya Posts and Telecommunications Corporation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2000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144/99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– Wrongful dismissal – Appellant employee of Kenya Posts and Telecommunications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Corporation – Appellant dismissed in 1992 – Whether suit brought within time – Section 109 – Kenya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Posts and Telecommunications Act (chapter 411).</w:t>
      </w:r>
    </w:p>
    <w:p w:rsidR="0000702D" w:rsidRDefault="00EB15EF" w:rsidP="00EB15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0702D" w:rsidRDefault="0000702D" w:rsidP="00EB1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KWACH, LAKHA AND KEIWUA JJA: </w:t>
      </w:r>
      <w:r>
        <w:rPr>
          <w:rFonts w:ascii="Times New Roman" w:hAnsi="Times New Roman" w:cs="Times New Roman"/>
          <w:color w:val="000000"/>
        </w:rPr>
        <w:t xml:space="preserve">Joel </w:t>
      </w:r>
      <w:proofErr w:type="spellStart"/>
      <w:r>
        <w:rPr>
          <w:rFonts w:ascii="Times New Roman" w:hAnsi="Times New Roman" w:cs="Times New Roman"/>
          <w:color w:val="000000"/>
        </w:rPr>
        <w:t>Kiprono</w:t>
      </w:r>
      <w:proofErr w:type="spellEnd"/>
      <w:r>
        <w:rPr>
          <w:rFonts w:ascii="Times New Roman" w:hAnsi="Times New Roman" w:cs="Times New Roman"/>
          <w:color w:val="000000"/>
        </w:rPr>
        <w:t xml:space="preserve"> Langat (“the Appellant”) was at one time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employed by the Respondent, Kenya Posts and Telecommunications Corporation (“KPTC”), as a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mechanic. On 30 October 1991, KPTC dismissed him. In October 1997, the Appellant filed suit in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against KPTC alleging wrongful dismissal and sought, among other reliefs, a declaration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his dismissal was wrongful; general damages;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 and pension. KPTC filed a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the Appellant’s claim and also contended that the suit was incompetent for failure on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Appellant to comply with the mandatory provisions of section 109(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Kenya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Posts and Telecommunications Corporation Act (Chapter 411) (“the Act”).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suit came up for hearing before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 the advocate for KPTC raised a preliminary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that the suit was time-barred because it was not brought within the time limited by section 109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Act. The Learned Judge upheld the objection and dismissed the suit with costs. She gave leave to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to appeal to this Court.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upon which this appeal is brought are that the Learned Judge misapprehended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meaning, scope and tenor of section 109 of the Act and erred in law and fact in dismissing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suit on the ground that it was time-barred.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9 of the Act which deals with limitation of actions against KPTC provides: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“109 Where any action or other legal proceeding is commenced against the Corporation for any act done in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pursuance or execution or intended execution, of this Act or of any public duty or authority, or in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any alleged neglect or default in the execution of this Act or of any such duty or authority,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 provisions shall have effect: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 or legal proceeding shall not be commenced against the Corporation until at least one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 after written notice containing the particulars of the claim, and intention to commence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action or legal proceeding, has been served upon the managing director by the plaintiff or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agent;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 or legal proceeding shall not lie or be instituted unless it is commenced within twelve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months next after the act, neglect or default complained of or, in the case of a continuing injury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damage, within six months next after cessation thereof”.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gravamen of the Appellant’s case is that he was unlawfully dismissed by KPTC without notice.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KPTC raised a preliminary objection that the suit was incompetent, it was incumbent upon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prove first, that he was entitled to be given notice before being dismissed, and, second,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dismissed without notice, he had complied with the mandatory provisions of section 109 of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Act.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by KPTC it was denied that the Appellant was dismissed without notice or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sufficient cause. It was also averred that his dismissal was effected in accordance with his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service.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This being the position taken by KPTC, we would have thought that in resisting the preliminary objection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by KPTC the Appellant would have seen the need not only to place before the Learned Judge his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service which would contain the terms and conditions of his engagement, but also a copy of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be alleged he had served on the managing director of KPTC as required by section 109(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Act. Neither of these documents were produced. The only way the Appellant could prove that he had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the notice under section 109(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was by tendering a copy of such notice in evidence.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not done so, the plea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by KPTC that no such notice was served, was well founded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Learned Judge rightly found that it was not served.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requirement that the proceedings have to be brought within twelve months from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date of the occurrence of the act complained of,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Bussinei</w:t>
      </w:r>
      <w:proofErr w:type="spellEnd"/>
      <w:r>
        <w:rPr>
          <w:rFonts w:ascii="Times New Roman" w:hAnsi="Times New Roman" w:cs="Times New Roman"/>
          <w:color w:val="000000"/>
        </w:rPr>
        <w:t>, for the Appellant, submitted that a claim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damages for wrongful dismissal does not fall under that provision and being a contractual claim can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brought within six years under the relevant provisions of the Limitation of Actions Act (Chapter 22).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only needs to read section 104(1) of the Act to see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Bussenei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interpretation is wrong. Under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rubric “Staff” it states: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“104 (1) Subject to this Act, the Board may appoint such employees of the Corporation as may be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for its efficient working under such terms and conditions, including conditions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relating to discipline and dismissal, as it may think fit”.</w:t>
      </w:r>
      <w:r w:rsidR="00EB15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plainly obvious from this section that appointment, discipline and dismissal of staff is an act done by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KPTC in pursuance of execution of the Act within the meaning of section 109 thereof. It must follow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this that if the Appellant wished to contest his dismissal by KPTC he had to institute proceedings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time frame fixed under section 109 of the Act. He did not serve a notice of intention to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 action on the managing director nor did he institute the action within twelve months from the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of his dismissal. The result of this default is that the suit bought by the Appellant was incompetent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did not lie. We can find no misdirection in the decision of the Learned Judge.</w:t>
      </w:r>
      <w:r w:rsidR="00EB15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consequence of this is that this appeal has no merit and it is dismissed with costs.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Bussinei</w:t>
      </w:r>
      <w:proofErr w:type="spellEnd"/>
    </w:p>
    <w:p w:rsidR="0000702D" w:rsidRDefault="0000702D" w:rsidP="0000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State:</w:t>
      </w:r>
    </w:p>
    <w:p w:rsidR="003F18BF" w:rsidRDefault="0000702D" w:rsidP="0000702D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2D"/>
    <w:rsid w:val="0000702D"/>
    <w:rsid w:val="003F18BF"/>
    <w:rsid w:val="00E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4F356-D6B3-4F90-A0A7-3EBA76A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2018-07-05T10:37:00Z</dcterms:created>
  <dcterms:modified xsi:type="dcterms:W3CDTF">2018-07-13T07:01:00Z</dcterms:modified>
</cp:coreProperties>
</file>