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Lebiringin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October 1973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179/1973 (40/74)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James Wicks CJ and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Form of – Not necessary for charge to negative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exceptions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or qualifications of offence – Criminal Procedure Code, s. </w:t>
      </w:r>
      <w:r>
        <w:rPr>
          <w:rFonts w:ascii="Times New Roman" w:hAnsi="Times New Roman" w:cs="Times New Roman"/>
          <w:color w:val="000000"/>
        </w:rPr>
        <w:t>137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Sentence – Loss of job can properly be taken into account.</w:t>
      </w:r>
    </w:p>
    <w:p w:rsidR="001511C6" w:rsidRDefault="00542E8B" w:rsidP="00542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511C6" w:rsidRDefault="001511C6" w:rsidP="00542E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Hancox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appellant, who was at the material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a district officer at </w:t>
      </w:r>
      <w:proofErr w:type="spellStart"/>
      <w:r>
        <w:rPr>
          <w:rFonts w:ascii="Times New Roman" w:hAnsi="Times New Roman" w:cs="Times New Roman"/>
          <w:color w:val="000000"/>
        </w:rPr>
        <w:t>Kitui</w:t>
      </w:r>
      <w:proofErr w:type="spellEnd"/>
      <w:r>
        <w:rPr>
          <w:rFonts w:ascii="Times New Roman" w:hAnsi="Times New Roman" w:cs="Times New Roman"/>
          <w:color w:val="000000"/>
        </w:rPr>
        <w:t>, was convicted on his own plea of guilty to an offence of possessing one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elephant tusk in contravention of s. 33 of the Wild Animals Protection Act (Cap. 376). He was sentenced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two years’ imprisonment and the ivory concerned, and the vehicle allegedly involved in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offence, were ordered to be forfeited to the Government.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da Gama Rose, who now appears for the appellant, has submitted that the purported plea of guilty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by no means unequivocal and that the conviction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in consequence, a nullity. He further urged that the sentence imposed was, in any event, excessive,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there is considerable disparity between it and (in particular) a sentence recently imposed upon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wife of an Assistant Minister of the government for similar, though in extent somewhat more grave,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offences. State Counsel supports the conviction but concedes that the sentence is, under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harsh and that some reduction is called for.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turn first to the passage cited to us from Halsbury’s Laws of England, Vol. 10, Simonds Edition,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para. 742 where it is stated–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prisoner is not to be taken to admit an offence unless he pleads guilty to it in unmistakable terms with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appreciation of the essential elements of the offence.”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underlining is ours, and we have done so because Mr. da Gama Rose urged very strongly before us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particulars of the charge by no means contained all the essential elements of the offence so as to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enable the appellant to have had full appreciation thereof. In this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he cited the Revisionary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of Edmonds, J. in </w:t>
      </w:r>
      <w:r>
        <w:rPr>
          <w:rFonts w:ascii="Times New Roman" w:hAnsi="Times New Roman" w:cs="Times New Roman"/>
          <w:i/>
          <w:iCs/>
          <w:color w:val="000000"/>
        </w:rPr>
        <w:t xml:space="preserve">Lukas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Bachegwa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(1956), 29 K.L.R. 189 at p. 190.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correct that s. 33 of the Act does refer to several other provisions in the same statute which would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a person who would otherwise be amenable to a conviction for the possession of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ivory. For instance, under s. 22 (5) of the Act if a licensee or permit-holder has wounded and made every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kill an elephant or rhinoceros, the Chief Game Warden may, at his discretion direct that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trophies (which term includes elephant tusks) shall be delivered to the licensee or permit-holder.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of other sections are mentioned, and, Mr. da Gama Rose is submitting, as we understand </w:t>
      </w:r>
      <w:proofErr w:type="gramStart"/>
      <w:r>
        <w:rPr>
          <w:rFonts w:ascii="Times New Roman" w:hAnsi="Times New Roman" w:cs="Times New Roman"/>
          <w:color w:val="000000"/>
        </w:rPr>
        <w:t>him,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prosecution must, in the charge sheet, negative by averment all those other provisions. We do not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agree, and, in our opinion, the position is adequately covered by sub-para.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s. 137 of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 which states: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“(ii) it shall not be necessary, in any count charging an offence constituted by an enactment, to negative any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exception or exemption from, or qualifications to, the operation of the enactment creating the offence.”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therefore think that it was quite sufficient for the particulars of the charge to allege that the accused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in possession of the trophies concerned in contravention of the provisions of s. 33, as sub-s. (5) </w:t>
      </w:r>
      <w:proofErr w:type="gramStart"/>
      <w:r>
        <w:rPr>
          <w:rFonts w:ascii="Times New Roman" w:hAnsi="Times New Roman" w:cs="Times New Roman"/>
          <w:color w:val="000000"/>
        </w:rPr>
        <w:t>itself</w:t>
      </w:r>
      <w:proofErr w:type="gramEnd"/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states. In this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we think that the words in the charge “. . . which trophies had been obtained by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 . . .” are, strictly, </w:t>
      </w:r>
      <w:proofErr w:type="spellStart"/>
      <w:r>
        <w:rPr>
          <w:rFonts w:ascii="Times New Roman" w:hAnsi="Times New Roman" w:cs="Times New Roman"/>
          <w:color w:val="000000"/>
        </w:rPr>
        <w:t>surplusage</w:t>
      </w:r>
      <w:proofErr w:type="spellEnd"/>
      <w:r>
        <w:rPr>
          <w:rFonts w:ascii="Times New Roman" w:hAnsi="Times New Roman" w:cs="Times New Roman"/>
          <w:color w:val="000000"/>
        </w:rPr>
        <w:t xml:space="preserve"> and, as such, did not require to be proved. But the fact that they were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included can, in our view, have occasioned no possible prejudice to the appellant. Indeed in the instant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we think that the words “otherwise than in accordance with the Act” would have sufficed. Certainly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 the charge gave adequate particulars, and the appellant, holding the office he did, can have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been, we are satisfied, under no possible misapprehension as to what was being alleged against him.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of s. 134 of the Criminal Procedure Code were therefore satisfied.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come now to the alleged ambiguity in the plea. We are satisfied that the principles stated in para.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425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Archbold’s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Criminal Pleading, Evidence and Practice</w:t>
      </w:r>
      <w:r>
        <w:rPr>
          <w:rFonts w:ascii="Times New Roman" w:hAnsi="Times New Roman" w:cs="Times New Roman"/>
          <w:color w:val="000000"/>
        </w:rPr>
        <w:t>, 37th ed., accurately represent the law of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county, and that the several decisions cited to us are in effect but different examples of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of those principles,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as they do that languages other than English are frequently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involved, and that especial care is needed in such cases to ensure that the person accused of a crime fully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understands all the ingredients of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and wishes to admit them. It is for this </w:t>
      </w:r>
      <w:r>
        <w:rPr>
          <w:rFonts w:ascii="Times New Roman" w:hAnsi="Times New Roman" w:cs="Times New Roman"/>
          <w:color w:val="000000"/>
        </w:rPr>
        <w:lastRenderedPageBreak/>
        <w:t>reason that such replies as “It is true”, “I admit it” and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have frequently been held to be insufficient in Kenya. Moreover there is no single word, as we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believe, approximating to the formal English admission of guilty. It is not that any particular form of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is required to be recorded in answer to a charge. It is simply that the magistrate is, so to speak,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trustee to ensure that the accused person wishes to admit his guilt, and to satisfy himself on this point,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thus relieve the prosecution of what may sometimes be the onerous task of proving all that they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 beyond a reasonable doubt.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paragraph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Archbold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which we have referred states as follows: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important that there should be no ambiguity in the plea, and that where the prisoner makes some other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answer than “Not guilty” or “Guilty”, as the case may be, care should be taken to make sure that he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understands the charge and to ascertain to what the plea amounts. Where the plea is imperfect or unfinished,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court of trial has wrongly held it to amount to a plea of guilty, on appeal the Court of Appeal may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that a plea of not guilty be entered and that the appellant be tried on the indictment:”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on this subject has been recently restated here by the Court of Appeal in </w:t>
      </w:r>
      <w:r>
        <w:rPr>
          <w:rFonts w:ascii="Times New Roman" w:hAnsi="Times New Roman" w:cs="Times New Roman"/>
          <w:i/>
          <w:iCs/>
          <w:color w:val="000000"/>
        </w:rPr>
        <w:t>Adan v. Republic</w:t>
      </w:r>
      <w:r>
        <w:rPr>
          <w:rFonts w:ascii="Times New Roman" w:hAnsi="Times New Roman" w:cs="Times New Roman"/>
          <w:color w:val="000000"/>
        </w:rPr>
        <w:t>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[1973] E.A. 445 at p. 446 as follows: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courts have always been concerned that an accused person should not be convicted on his plea unless it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certain that he really understood the charge and had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it. The danger of a conviction on an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equivocal plea is obviously greatest where the accused is unrepresented, is of limited education and does not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speak the language of the court. For this reason, it has long been a rule of practice that where a plea appears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one of guilty, it must be recorded in the words of the accused (see, for example, Circular to Magistrates,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No. 1 of 1911 of the High Court of East Africa). This is now a statutory requirement in all the three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jurisdictions.”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went on to cite with approval the decisions of </w:t>
      </w:r>
      <w:proofErr w:type="spellStart"/>
      <w:r>
        <w:rPr>
          <w:rFonts w:ascii="Times New Roman" w:hAnsi="Times New Roman" w:cs="Times New Roman"/>
          <w:color w:val="000000"/>
        </w:rPr>
        <w:t>Mosdell</w:t>
      </w:r>
      <w:proofErr w:type="spellEnd"/>
      <w:r>
        <w:rPr>
          <w:rFonts w:ascii="Times New Roman" w:hAnsi="Times New Roman" w:cs="Times New Roman"/>
          <w:color w:val="000000"/>
        </w:rPr>
        <w:t xml:space="preserve">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Kibilo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[1971] E.A.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101 and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Marete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Cr. App. 743 of 1972 (unreported), in which the necessity, in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serious cases at least, of the facts being stated to the court fully and at the time of the plea, so as to enable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to dissent from or explain any of the relevant facts, was emphasized.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what happened in this case? The resident magistrate recorded an admission by the appellant that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in possession of an elephant tusk, which he was carrying in his car without a permit from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Game Department. He then proceeded to hear the facts, which disclosed that he was stopped in his car by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game scouts on the </w:t>
      </w:r>
      <w:proofErr w:type="spellStart"/>
      <w:r>
        <w:rPr>
          <w:rFonts w:ascii="Times New Roman" w:hAnsi="Times New Roman" w:cs="Times New Roman"/>
          <w:color w:val="000000"/>
        </w:rPr>
        <w:t>Baragoi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Maralal</w:t>
      </w:r>
      <w:proofErr w:type="spellEnd"/>
      <w:r>
        <w:rPr>
          <w:rFonts w:ascii="Times New Roman" w:hAnsi="Times New Roman" w:cs="Times New Roman"/>
          <w:color w:val="000000"/>
        </w:rPr>
        <w:t xml:space="preserve"> road. In the boot of the car was one elephant tusk.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failed to produce a permit and was, accordingly, arrested and charged. The appellant then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admit most of the facts. I admit that I carried an elephant tusk in my car and for which I had no permit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Act.”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use of the phrase “most of the facts” should have sufficed, we think, at once to put the magistrate 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enquiry. Yet he thereupon entered on the record the time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 xml:space="preserve"> abbreviation “G.O.P.C.”. It is clear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magistrate thereby entered a conviction against the appellant. Thereafter he deprived himself and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of any opportunity to enter a plea of Not Guilty. From then on he was obliged to proceed to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what the appellant had to say in mitigation and to sentence him as he thought fit.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explanation was then forthcoming from the appellant. He alleged he saw a white object lying 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ground, found it to be an elephant tusk and put it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car with the object of taking it to the police station. The following further dialogue then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occurred: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Court </w:t>
      </w:r>
      <w:r>
        <w:rPr>
          <w:rFonts w:ascii="Times New Roman" w:hAnsi="Times New Roman" w:cs="Times New Roman"/>
          <w:color w:val="000000"/>
          <w:sz w:val="20"/>
          <w:szCs w:val="20"/>
        </w:rPr>
        <w:t>– May I call the game scouts to find out if it was true?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Accused – </w:t>
      </w:r>
      <w:r>
        <w:rPr>
          <w:rFonts w:ascii="Times New Roman" w:hAnsi="Times New Roman" w:cs="Times New Roman"/>
          <w:color w:val="000000"/>
          <w:sz w:val="20"/>
          <w:szCs w:val="20"/>
        </w:rPr>
        <w:t>No. I withdraw it. I now admit that I had no intention of taking this tusk to the police.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Accused – </w:t>
      </w:r>
      <w:r>
        <w:rPr>
          <w:rFonts w:ascii="Times New Roman" w:hAnsi="Times New Roman" w:cs="Times New Roman"/>
          <w:color w:val="000000"/>
          <w:sz w:val="20"/>
          <w:szCs w:val="20"/>
        </w:rPr>
        <w:t>After I found the tusk and kept it in the car and drove away. After some time I met the game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scouts.”</w:t>
      </w:r>
      <w:r w:rsidR="00542E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came the mitigation and the magistrate’s remarks in passing sentence.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ask ourselves two questions: (1) </w:t>
      </w:r>
      <w:proofErr w:type="gramStart"/>
      <w:r>
        <w:rPr>
          <w:rFonts w:ascii="Times New Roman" w:hAnsi="Times New Roman" w:cs="Times New Roman"/>
          <w:color w:val="000000"/>
        </w:rPr>
        <w:t>Did</w:t>
      </w:r>
      <w:proofErr w:type="gramEnd"/>
      <w:r>
        <w:rPr>
          <w:rFonts w:ascii="Times New Roman" w:hAnsi="Times New Roman" w:cs="Times New Roman"/>
          <w:color w:val="000000"/>
        </w:rPr>
        <w:t xml:space="preserve"> the several replies of the appellant amount to an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ambiguity in the plea, or show that he really did not wish to admit the charge and the facts put forward by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prosecution? (2) If not, did what happen before the magistrate amount to putting pressure upon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maintain what purported to be plea of guilty and to deprive him of that freedom of choice in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plea regarding which the Court of Appeal in England has been so emphatic? In this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we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considered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R. v. Turner </w:t>
      </w:r>
      <w:r>
        <w:rPr>
          <w:rFonts w:ascii="Times New Roman" w:hAnsi="Times New Roman" w:cs="Times New Roman"/>
          <w:color w:val="000000"/>
        </w:rPr>
        <w:t xml:space="preserve">(1970), 54 C.A.R. 352 and </w:t>
      </w:r>
      <w:r>
        <w:rPr>
          <w:rFonts w:ascii="Times New Roman" w:hAnsi="Times New Roman" w:cs="Times New Roman"/>
          <w:i/>
          <w:iCs/>
          <w:color w:val="000000"/>
        </w:rPr>
        <w:t xml:space="preserve">R. v. Barnes </w:t>
      </w:r>
      <w:r>
        <w:rPr>
          <w:rFonts w:ascii="Times New Roman" w:hAnsi="Times New Roman" w:cs="Times New Roman"/>
          <w:color w:val="000000"/>
        </w:rPr>
        <w:t>(1971), 55 C.A.R. 100,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of which appear in the passage in the Supplement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Archbold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by Mr. da Gama Rose.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given careful and anxious consideration to the matter we are satisfied that the appellant not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understood what he was being charged with but fully intended to and did plead guilty. He was not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uneducated man but a district officer of some six years’ standing. His replies to the court indicate that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knew perfectly well what </w:t>
      </w:r>
      <w:proofErr w:type="gramStart"/>
      <w:r>
        <w:rPr>
          <w:rFonts w:ascii="Times New Roman" w:hAnsi="Times New Roman" w:cs="Times New Roman"/>
          <w:color w:val="000000"/>
        </w:rPr>
        <w:t>was lawful possession</w:t>
      </w:r>
      <w:proofErr w:type="gramEnd"/>
      <w:r>
        <w:rPr>
          <w:rFonts w:ascii="Times New Roman" w:hAnsi="Times New Roman" w:cs="Times New Roman"/>
          <w:color w:val="000000"/>
        </w:rPr>
        <w:t xml:space="preserve"> and what was not. We think that the magistrate was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premature in recording a finding and conviction, and that had he postponed this until after the appellant’s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 that he had no intention of taking the tusk to the police no complaint could be made. As it is,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consider, taking the whole of the material recorded in the lower court into </w:t>
      </w:r>
      <w:r>
        <w:rPr>
          <w:rFonts w:ascii="Times New Roman" w:hAnsi="Times New Roman" w:cs="Times New Roman"/>
          <w:color w:val="000000"/>
        </w:rPr>
        <w:lastRenderedPageBreak/>
        <w:t>consideration, that there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unequivocal admission of guilt on the part of the appellant.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second question, the only passage which has caused us difficulty is the magistrate’s offer to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 the game scouts as witnesses. It would have been far better if, having refrained from making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earlier, he had said to the appellant some such words as “If that is what you maintain I shall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your answer as a plea of not guilty.” If the appellant had then answered that he had no intention of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the tusk to the police, and if the magistrate had then recorded a conviction, we think the plea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unassailable. We think that in some circumstances, given an uneducated or less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intelligent accused, the reference to calling the game scouts (which was in any case irregular) might have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amounted to oppression and to have deprived the appellant (in his own mind at least) of his free choice as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whether to plead guilty or not. In the circumstances of the instant case we are satisfied (ignoring for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moment that the passage concerned came after the recording of the conviction) that the proceedings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lower court were neither oppressive nor unfair and that the appellant was never prevented from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exercising his free choice as to whether to plead guilty or not guilty.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the other authorities cited to us by Mr. da Gama Rose, (in one of which, for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instance,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Koech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[1968] E.A. 109 the nature of the charge virtually precluded a plea of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guilty), but we are in no doubt in the instant case that the conviction was right. This being so we dismiss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against conviction.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leaves the matter of sentence.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da Gama Rose has strenuously urged before us that no consideration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given by the magistrate to the fact that the appellant had had six years’ unblemished service as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and that he will almost certainly, by reason of the conviction alone, lose his career. 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asks us to say that that is sufficient punishment. Mrs. 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>, for the State, as we understand her,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concedes that the sentence is harsh and also excessive. It is true, as she pointed out, that the longer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has served in a position of trust and responsibility, the greater is the degree of integrity that is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and required of him. Therefore, she says, the fact that a man has served for six years as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officer, does not of itself entitle him to leniency. With this we agree, but it is also true to say that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longer the service a person has in such capacity, the greater he will lose if he suffers a criminal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conviction, and we think that this is a legitimate factor which can be taken into account, in appropriate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cases, in an accused person’s favour.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da Gama Rose also drew our attention to the record of Resident Magistrate’s Criminal Case 710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173, which was tied by the same magistrate. In that case Mrs. Esther </w:t>
      </w:r>
      <w:proofErr w:type="spellStart"/>
      <w:r>
        <w:rPr>
          <w:rFonts w:ascii="Times New Roman" w:hAnsi="Times New Roman" w:cs="Times New Roman"/>
          <w:color w:val="000000"/>
        </w:rPr>
        <w:t>Mwekeli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, the wife of an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Assistant Minister for Tourism and Wildlife, was one of the accused. The charge, as amended, concerned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illegal possession of the tusks from two elephants, and the horns from two rhinoceroses, found in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boot of a car in which the two accused were at the material time. The evidence at the trial concerned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elephant tusks and three rhino horns, and that is the basis on which the magistrate wrote his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but it is not necessary for us to try to resolve this apparent difference in the number of trophies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which the accused in that case were allegedly found in possession. The </w:t>
      </w:r>
      <w:proofErr w:type="spellStart"/>
      <w:r>
        <w:rPr>
          <w:rFonts w:ascii="Times New Roman" w:hAnsi="Times New Roman" w:cs="Times New Roman"/>
          <w:color w:val="000000"/>
        </w:rPr>
        <w:t>nett</w:t>
      </w:r>
      <w:proofErr w:type="spellEnd"/>
      <w:r>
        <w:rPr>
          <w:rFonts w:ascii="Times New Roman" w:hAnsi="Times New Roman" w:cs="Times New Roman"/>
          <w:color w:val="000000"/>
        </w:rPr>
        <w:t xml:space="preserve"> result was that the accused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received fines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9,000/-, or in default a total of five years’ imprisonment, for illegally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possessing the trophies from four animals.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da Gama Rose invites us to compare the two cases. He suggests that there is a considerable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disparity between the sentences passed and that the appellant in this case should have had the option of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fine. Of course, if the sentences passed in the other case were inadequate this would not necessarily avail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but Mr. da Gama Rose has gone further and submitted that a reading of both cases can only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us to the conclusion that the magistrate did not act on correct principles when he passed sentence on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decline to comment on the sufficiency or otherwise of the sentence passed in the other case,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we note that when passing sentence the magistrate expressed the view (in apparent conflict with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he had earlier said in the judgment) that a third person had led the accused into a situation in which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left to face the music. We note also that the magistrate commented adversely on the appellant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told a “cock and bull story”, which he withdrew when it was suggested that the game scouts be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called. In this we think he was taking into account for the purpose of sentence a portion of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which properly belonged to the taking of the plea.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Bearing in mind that the appellant was a district officer of previous good character, that he did, as we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found, plead guilty, and that the loss of his career will already be a heavy punishment, we think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of two years’ imprisonment passed on him was too severe. At the same time we think that this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proper case for imprisonment, to mark the seriousness with which the courts must regard this type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offence. After due consideration we think that in this particular case, and without </w:t>
      </w:r>
      <w:proofErr w:type="spellStart"/>
      <w:r>
        <w:rPr>
          <w:rFonts w:ascii="Times New Roman" w:hAnsi="Times New Roman" w:cs="Times New Roman"/>
          <w:color w:val="000000"/>
        </w:rPr>
        <w:t>minimising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gravity of the offence, a </w:t>
      </w:r>
      <w:r>
        <w:rPr>
          <w:rFonts w:ascii="Times New Roman" w:hAnsi="Times New Roman" w:cs="Times New Roman"/>
          <w:color w:val="000000"/>
        </w:rPr>
        <w:lastRenderedPageBreak/>
        <w:t>period of imprisonment of nine months’ duration will suffice.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da Gama Rose frankly states that he is unable to challenge the order for forfeiture of the vehicle.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 that s. 47 (4) is mandatory in this respect and we accordingly maintain the order for forfeiture,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as regards the vehicle and as regards the elephant tusk.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Accordingly for the sentence of two years’ imprisonment passed on the appellant we substitute a</w:t>
      </w:r>
      <w:r w:rsidR="00542E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sentence of nine months’ imprisonment. To this extent only does the appeal </w:t>
      </w:r>
      <w:proofErr w:type="gramStart"/>
      <w:r>
        <w:rPr>
          <w:rFonts w:ascii="Times New Roman" w:hAnsi="Times New Roman" w:cs="Times New Roman"/>
          <w:color w:val="000000"/>
        </w:rPr>
        <w:t>succeed.</w:t>
      </w:r>
      <w:proofErr w:type="gramEnd"/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 da Gama Rose</w:t>
      </w:r>
    </w:p>
    <w:p w:rsidR="001511C6" w:rsidRDefault="001511C6" w:rsidP="00151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1511C6" w:rsidP="001511C6"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Dourado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C6"/>
    <w:rsid w:val="001511C6"/>
    <w:rsid w:val="00542E8B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FB054-DD31-4B1F-9A95-853BA8C7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2018-07-05T13:21:00Z</dcterms:created>
  <dcterms:modified xsi:type="dcterms:W3CDTF">2018-07-13T07:04:00Z</dcterms:modified>
</cp:coreProperties>
</file>