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Lentiyo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March 2006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181/05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Criminal law – Murder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Provocation – Self-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Manslaughter –Factors to be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considered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determining whether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self-defence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had been established – Honest belief based on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reasonable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grounds that killing was necessary – Reasonable apprehension of serious violence – Whether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force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used by appellant was excessive – Whether manslaughter established – Section 17 – Penal Code.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06C26" w:rsidRDefault="004F4309" w:rsidP="00A06C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charged with murder contrary to section 203 as read with section 204 of the Penal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Code. Having initially indicated his willingness to plead guilty to a lesser charge of manslaughter, the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denied the charge when it was read out and explained to him. The trial judge then recorded that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charge reverted to murder. At the trial, evidence was adduced to the effect that on the material day the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who was an Assistant Chief, met the deceased and his brother as he made his way to address a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function. The appellant was at the time lawfully armed with a rifle and sword. For reasons that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apparent, the deceased pounced on the appellant who in turn hit him on the head, splitting his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skull and resulting in his death.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considered the evidence, found that the appellant applied excessive force and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convicted him on a lesser charge of manslaughter. In view of the fact that he had been in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custody for five years, she considered that this was sufficient punishment and discharged him under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35(1) of the Penal Code on condition that he did not commit any offence for a period of one year.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now appealed against the conviction and sentence on the grounds that the trial judge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erred in law by failing to uphold his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of provocation and </w:t>
      </w:r>
      <w:proofErr w:type="spellStart"/>
      <w:r>
        <w:rPr>
          <w:rFonts w:ascii="Times New Roman" w:hAnsi="Times New Roman" w:cs="Times New Roman"/>
          <w:color w:val="000000"/>
        </w:rPr>
        <w:t>self-defence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in failing to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appreciate that the ingredients for conviction on manslaughter were not established. Counsel for the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submitted,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appellant had used excessive force and that the conviction ought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upheld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law to be applied in relation to </w:t>
      </w:r>
      <w:proofErr w:type="spellStart"/>
      <w:r>
        <w:rPr>
          <w:rFonts w:ascii="Times New Roman" w:hAnsi="Times New Roman" w:cs="Times New Roman"/>
          <w:color w:val="000000"/>
        </w:rPr>
        <w:t>self-defence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the common law of England. Where a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against whom a forcible and violent felony was being attempted repelled it by force and in so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doing killed the attacker, the killing was justifiable, provided that there was a reasonable necessity for the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killing or an honest belief based on reasonable grounds that it was necessary and the violence attempted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or reasonably apprehended from the attacker was really serious. In other cases, where no violent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felony was attempted, a person was entitled to use reasonable force against an assault. If he was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reasonably in apprehension of serious injury, he could use such force, including deadly force, as was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in the circumstances provided that he did all that he was able in the circumstances by retreat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otherwise, to break off the fight or avoid the assault. In either case, if the force used was excessive, but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other elements of </w:t>
      </w:r>
      <w:proofErr w:type="spellStart"/>
      <w:r>
        <w:rPr>
          <w:rFonts w:ascii="Times New Roman" w:hAnsi="Times New Roman" w:cs="Times New Roman"/>
          <w:color w:val="000000"/>
        </w:rPr>
        <w:t>self-defence</w:t>
      </w:r>
      <w:proofErr w:type="spellEnd"/>
      <w:r>
        <w:rPr>
          <w:rFonts w:ascii="Times New Roman" w:hAnsi="Times New Roman" w:cs="Times New Roman"/>
          <w:color w:val="000000"/>
        </w:rPr>
        <w:t xml:space="preserve"> were present, there could be a conviction of manslaughter: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Manzi</w:t>
      </w:r>
      <w:proofErr w:type="spellEnd"/>
      <w:r w:rsidR="00A06C26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Selemani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applied. If the accused found himself in evident danger from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opponent, he was obliged to retreat from the danger but if he found that he could not retreat further,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could use force to defend himself;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Musyoka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>considered.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instance, the trial judge had properly directed herself on all the issues and it was thus safe to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confirm the conviction. The sentence imposed was also in no way illegal.</w:t>
      </w:r>
      <w:r w:rsidR="00A06C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</w:t>
      </w:r>
      <w:r w:rsidR="00A06C26">
        <w:rPr>
          <w:rFonts w:ascii="Times New Roman" w:hAnsi="Times New Roman" w:cs="Times New Roman"/>
          <w:color w:val="000000"/>
        </w:rPr>
        <w:t xml:space="preserve"> </w:t>
      </w:r>
    </w:p>
    <w:p w:rsidR="00A06C26" w:rsidRDefault="00A06C26" w:rsidP="00A06C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F4309" w:rsidRDefault="004F4309" w:rsidP="00A06C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Manzi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[1964] EA 289 – </w:t>
      </w:r>
      <w:r>
        <w:rPr>
          <w:rFonts w:ascii="Verdana,Bold" w:hAnsi="Verdana,Bold" w:cs="Verdana,Bold"/>
          <w:b/>
          <w:bCs/>
          <w:color w:val="000000"/>
          <w:sz w:val="18"/>
          <w:szCs w:val="18"/>
        </w:rPr>
        <w:t>AP</w:t>
      </w:r>
    </w:p>
    <w:p w:rsidR="004F4309" w:rsidRDefault="004F4309" w:rsidP="004F4309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8"/>
          <w:szCs w:val="1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i/>
          <w:iCs/>
          <w:color w:val="000000"/>
        </w:rPr>
        <w:t>Musyoka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 xml:space="preserve">[2003] 1 EA – </w:t>
      </w:r>
      <w:r>
        <w:rPr>
          <w:rFonts w:ascii="Verdana,Bold" w:hAnsi="Verdana,Bold" w:cs="Verdana,Bold"/>
          <w:b/>
          <w:bCs/>
          <w:color w:val="000000"/>
          <w:sz w:val="18"/>
          <w:szCs w:val="18"/>
        </w:rPr>
        <w:t>C</w:t>
      </w:r>
    </w:p>
    <w:p w:rsidR="00AB7022" w:rsidRDefault="004F4309" w:rsidP="004F4309"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Selemani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(number 1) [1963] EA 446 – </w:t>
      </w:r>
      <w:r>
        <w:rPr>
          <w:rFonts w:ascii="Verdana,Bold" w:hAnsi="Verdana,Bold" w:cs="Verdana,Bold"/>
          <w:b/>
          <w:bCs/>
          <w:color w:val="000000"/>
          <w:sz w:val="18"/>
          <w:szCs w:val="18"/>
        </w:rPr>
        <w:t>AP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09"/>
    <w:rsid w:val="004F4309"/>
    <w:rsid w:val="00A06C26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D4471-E92E-48C9-9281-8DF08E69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2018-07-05T06:34:00Z</dcterms:created>
  <dcterms:modified xsi:type="dcterms:W3CDTF">2018-07-13T07:05:00Z</dcterms:modified>
</cp:coreProperties>
</file>