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24" w:rsidRDefault="00DA3F24" w:rsidP="00D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Lentiyo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DA3F24" w:rsidRDefault="00DA3F24" w:rsidP="00D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</w:p>
    <w:p w:rsidR="00DA3F24" w:rsidRDefault="00DA3F24" w:rsidP="00D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March 2006</w:t>
      </w:r>
    </w:p>
    <w:p w:rsidR="00DA3F24" w:rsidRDefault="00DA3F24" w:rsidP="00D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181/05</w:t>
      </w:r>
    </w:p>
    <w:p w:rsidR="00DA3F24" w:rsidRDefault="00DA3F24" w:rsidP="00D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DA3F24" w:rsidRDefault="00DA3F24" w:rsidP="00D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A3F24" w:rsidRDefault="00DA3F24" w:rsidP="00D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DA3F24" w:rsidRDefault="00DA3F24" w:rsidP="00D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Criminal law – Murder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Provocation – Self-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Manslaughter –Factors to be</w:t>
      </w:r>
    </w:p>
    <w:p w:rsidR="00DA3F24" w:rsidRDefault="00DA3F24" w:rsidP="00D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considered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determining whether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self-defence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had been established – Honest belief based on</w:t>
      </w:r>
    </w:p>
    <w:p w:rsidR="00DA3F24" w:rsidRDefault="00DA3F24" w:rsidP="00D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reasonable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grounds that killing was necessary – Reasonable apprehension of serious violence – Whether</w:t>
      </w:r>
    </w:p>
    <w:p w:rsidR="00DA3F24" w:rsidRDefault="00DA3F24" w:rsidP="00DA3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force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used by appellant was excessive – Whether manslaughter established – Section 17 – Penal Code.</w:t>
      </w:r>
    </w:p>
    <w:p w:rsidR="00DA3F24" w:rsidRDefault="007D048A" w:rsidP="007D04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D048A" w:rsidRDefault="00DA3F24" w:rsidP="007D048A">
      <w:pPr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Tunoi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Deverell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 xml:space="preserve">The appellant, David </w:t>
      </w:r>
      <w:proofErr w:type="spellStart"/>
      <w:r>
        <w:rPr>
          <w:rFonts w:ascii="Times New Roman" w:hAnsi="Times New Roman" w:cs="Times New Roman"/>
          <w:color w:val="000000"/>
        </w:rPr>
        <w:t>Lentiyo</w:t>
      </w:r>
      <w:proofErr w:type="spellEnd"/>
      <w:r>
        <w:rPr>
          <w:rFonts w:ascii="Times New Roman" w:hAnsi="Times New Roman" w:cs="Times New Roman"/>
          <w:color w:val="000000"/>
        </w:rPr>
        <w:t>, was charged with murder contrary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section 203 as read with section 204 of the Penal Code. The particulars of the offence were that on the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22 May 1999 at </w:t>
      </w:r>
      <w:proofErr w:type="spellStart"/>
      <w:r>
        <w:rPr>
          <w:rFonts w:ascii="Times New Roman" w:hAnsi="Times New Roman" w:cs="Times New Roman"/>
          <w:color w:val="000000"/>
        </w:rPr>
        <w:t>Lodikejek</w:t>
      </w:r>
      <w:proofErr w:type="spellEnd"/>
      <w:r>
        <w:rPr>
          <w:rFonts w:ascii="Times New Roman" w:hAnsi="Times New Roman" w:cs="Times New Roman"/>
          <w:color w:val="000000"/>
        </w:rPr>
        <w:t xml:space="preserve"> reserve in Samburu District of the Rift Valley Province, the appellant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murdered </w:t>
      </w:r>
      <w:proofErr w:type="spellStart"/>
      <w:r>
        <w:rPr>
          <w:rFonts w:ascii="Times New Roman" w:hAnsi="Times New Roman" w:cs="Times New Roman"/>
          <w:color w:val="000000"/>
        </w:rPr>
        <w:t>Lititiyan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Letunta</w:t>
      </w:r>
      <w:proofErr w:type="spellEnd"/>
      <w:r>
        <w:rPr>
          <w:rFonts w:ascii="Times New Roman" w:hAnsi="Times New Roman" w:cs="Times New Roman"/>
          <w:color w:val="000000"/>
        </w:rPr>
        <w:t>. The appellant was arraigned before the High Court (</w:t>
      </w:r>
      <w:proofErr w:type="spellStart"/>
      <w:r>
        <w:rPr>
          <w:rFonts w:ascii="Times New Roman" w:hAnsi="Times New Roman" w:cs="Times New Roman"/>
          <w:color w:val="000000"/>
        </w:rPr>
        <w:t>Lessit</w:t>
      </w:r>
      <w:proofErr w:type="spellEnd"/>
      <w:r>
        <w:rPr>
          <w:rFonts w:ascii="Times New Roman" w:hAnsi="Times New Roman" w:cs="Times New Roman"/>
          <w:color w:val="000000"/>
        </w:rPr>
        <w:t xml:space="preserve"> J) on 3 April 2003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learned State Counsel,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Onderi</w:t>
      </w:r>
      <w:proofErr w:type="spellEnd"/>
      <w:r>
        <w:rPr>
          <w:rFonts w:ascii="Times New Roman" w:hAnsi="Times New Roman" w:cs="Times New Roman"/>
          <w:color w:val="000000"/>
        </w:rPr>
        <w:t>, indicated the willingness of the State to accept a plea of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guilty on a lesser charge of manslaughter. The appellant, according to the record, indicated his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willingness to plead guilty to manslaughter but when the charge of manslaughter was read and explained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him he denied it. The learned Judge then recorded that the charge reverted to murder. It was read and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 once again to the appellant who pleaded “Not Guilty.”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murder trial commenced before </w:t>
      </w:r>
      <w:proofErr w:type="spellStart"/>
      <w:r>
        <w:rPr>
          <w:rFonts w:ascii="Times New Roman" w:hAnsi="Times New Roman" w:cs="Times New Roman"/>
          <w:color w:val="000000"/>
        </w:rPr>
        <w:t>Lessit</w:t>
      </w:r>
      <w:proofErr w:type="spellEnd"/>
      <w:r>
        <w:rPr>
          <w:rFonts w:ascii="Times New Roman" w:hAnsi="Times New Roman" w:cs="Times New Roman"/>
          <w:color w:val="000000"/>
        </w:rPr>
        <w:t xml:space="preserve"> J with the aid of three assessors on 4 November 2003.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a full trial, the learned Judge convicted the appellant on a lesser charge of manslaughter contrary to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202 as read with section 205 of the Penal Code. The learned Judge considered the fact that the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been in custody for five years which, in her view, was sufficient punishment. She therefore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discharged the appellant under section 35(1) of the Penal Code on the condition that the appellant does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commit any offence for a period of one year from the date of conviction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30 April 2004.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dissatisfied with the Superior Court’s conviction and, through his counsel, filed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appeal citing the following six grounds of appeal:</w:t>
      </w:r>
      <w:r w:rsidR="007D048A">
        <w:rPr>
          <w:rFonts w:ascii="Times New Roman" w:hAnsi="Times New Roman" w:cs="Times New Roman"/>
          <w:color w:val="000000"/>
        </w:rPr>
        <w:t xml:space="preserve"> </w:t>
      </w:r>
    </w:p>
    <w:p w:rsidR="007D048A" w:rsidRDefault="00DA3F24" w:rsidP="007D048A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“(1) That the learned Judge erred in law by failing to uphold the appellant’s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provocation and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selfzx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which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were justified and sustainable in the circumstances of the case herein.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D048A" w:rsidRDefault="00DA3F24" w:rsidP="007D048A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2) That the learned Judge erred in law by finding for the appellant in her analysis of the evidence on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record in regard to 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provocation and self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only to turn around and find a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conviction against him.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D048A" w:rsidRDefault="00DA3F24" w:rsidP="007D048A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3) That the learned Judge erred in law in failing to appreciate that in the circumstances of the case herein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wherein the life of the appellant was in grave danger a conviction on the charge of manslaughter could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suffice.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D048A" w:rsidRDefault="00DA3F24" w:rsidP="007D048A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(4) That the learned Judge erred in law by failing to appreciate that in the circumstances of this case the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 acted in the only way available to him.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B7022" w:rsidRDefault="00DA3F24" w:rsidP="007D048A">
      <w:pPr>
        <w:jc w:val="both"/>
      </w:pPr>
      <w:r>
        <w:rPr>
          <w:rFonts w:ascii="Times New Roman" w:hAnsi="Times New Roman" w:cs="Times New Roman"/>
          <w:color w:val="000000"/>
          <w:sz w:val="20"/>
          <w:szCs w:val="20"/>
        </w:rPr>
        <w:t>(5) That the learned Judge erred in law by failing to appreciate that the ingredients requisite for a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conviction on the charge of manslaughter were not established or at all.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(6) That by these errors of law the conviction of the appellant on the offence of manslaughter was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unlawful and occasioned a miscarriage of justice.”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appeal came up for hearing,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Ndegwa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Wahome</w:t>
      </w:r>
      <w:proofErr w:type="spellEnd"/>
      <w:r>
        <w:rPr>
          <w:rFonts w:ascii="Times New Roman" w:hAnsi="Times New Roman" w:cs="Times New Roman"/>
          <w:color w:val="000000"/>
        </w:rPr>
        <w:t>, the learned Counsel for the appellant,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decided to argue all the six grounds together. It was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Wahome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that the appellant had put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forth provocation and self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before the learned Judge and that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provocation was dismissed.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Wahome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reminded us that the appellant hit the deceased only once and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although the appellant had a gun and a sword, he never used these two lethal weapons.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Wahome</w:t>
      </w:r>
      <w:proofErr w:type="spellEnd"/>
      <w:r w:rsidR="007D048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went on to argue that the</w:t>
      </w:r>
      <w:r w:rsidR="007D048A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having accepted the appellant’s version, the conclusion ought to have been an acquittal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rather than a conviction on the lesser charge of manslaughter.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supporting the conviction, the learned Assistant Deputy Public </w:t>
      </w:r>
      <w:r>
        <w:rPr>
          <w:rFonts w:ascii="Times New Roman" w:hAnsi="Times New Roman" w:cs="Times New Roman"/>
          <w:color w:val="000000"/>
        </w:rPr>
        <w:lastRenderedPageBreak/>
        <w:t xml:space="preserve">Prosecutor,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Gumo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used excessive force against the deceased and that the attack was unprovoked. He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section 17 of the Penal Code was not available to the appellant as it was the appellant who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inflicted fatal injuries on the deceased.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Gumo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asked us to uphold the appellant’s conviction by the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Court.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appeal, the main issue was whether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</w:rPr>
        <w:t>self-defence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available to the appellant.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say so because the fact that the appellant hit the deceased causing him injuries which led to his death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denied. In the course of her judgment, the learned Judge stated: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have considered entire evidence adduced by both sides and have regarded submissions by both sides. The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accused has not denied hitting the deceased causing him the injuries that led to his death. He has however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raised two possible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which are provocation and self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.”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facts of the case were simple and straightforward. The appellant met the deceased and his brother.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who was an Assistant Chief was lawfully armed with a rifle and a sword. The appellant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indeed on his way to address a public function when he met the deceased. For some reasons known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both sides of this feud, the deceased pounced on the appellant who in turn hit the deceased on the head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splitting his skull. As a result of that injury the deceased succumbed to death.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who had the advantage of seeing and listening to the witnesses considered all the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before her and stated thus: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do find however that the accused applied excessive force. Joseph had merely grabbed at his rifle but had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succeeded in taking it. The deceased merely drew his sword but at no time used it. As I observed earlier, I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 believe that the accused was paranoid. The force he used was excessive and in the circumstances he is only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entitled to a reduction of the charge from murder to manslaughter and not to an acquittal as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suggested.”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have considered the circumstances in which the deceased met his death at the hands of the appellant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 our view, we are in agreement with the learned Judge that the appellant indeed used excessive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force in the circumstances of this case.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[1964] EA 289 at 292 the predecessor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this Court in dealing with the issue of self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stated: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“On all of these findings we find it difficult to conceive a clearer case of killing in self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subject only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consideration of the learned Judge’s finding that excessive force was used. On that question the learned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judge did not go into detail but stated that the assessors’ view that the appellant acted in self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right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 to a point but, ‘I do not think the accused should be acquitted because of the degree of force used by him.”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law to be applied in relation to self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is the common law of England (see section 17 of the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Code, Chapter 63 of the Laws of Kenya). Dealing with a similar provision in the law of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Tanganyika, this Court said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Selemani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(number 1) [1963] EA at 446: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“Under English law there is a broad distinction made where questions of self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arise. If a person against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whom a forcible and violent felony is being attempted repels force by force and in so doing kills the attacker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killing is justifiable, provided there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was a reasonable necessity for the killing or an honest belief based on reasonable grounds that it was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necessary and the violence attempted by or reasonably apprehended from the attacker is really serious. It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would appear that in such a case there is no duty in law to retreat, though no doubt questions of opportunity of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avoidance of disengagement would be relevant to the question of reasonable necessity for the killing. In other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cases of self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where no violent felony is attempted a person is entitled to use reasonable force against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assault, and if he is reasonably in apprehension of serious injury, provided he does all that he is able in the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circumstances, by retreat or otherwise break off the fight or avoid the assault, he may use such force,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including deadly force, as is reasonable in the circumstances. In either case if the force used is excessive, but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if the other elements of self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present there may be a conviction of manslaughter: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Biggin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(2), R</w:t>
      </w:r>
      <w:r w:rsidR="007D048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v Howe (3),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Robi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R (4)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(in relation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property).”</w:t>
      </w:r>
      <w:r w:rsidR="007D0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to be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in a case of self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if an accused finds he is in evident danger from his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opponent, he must retreat from the danger but, if he finds that he cannot retreat further, then he can use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force to defend himself. That was what was held in the recent decision of this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Musyoka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  <w:r w:rsidR="007D048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others v Republic </w:t>
      </w:r>
      <w:r>
        <w:rPr>
          <w:rFonts w:ascii="Times New Roman" w:hAnsi="Times New Roman" w:cs="Times New Roman"/>
          <w:color w:val="000000"/>
        </w:rPr>
        <w:t xml:space="preserve">[2003] 1 EA in which the decision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was followed.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our view, this was a case that needed very careful consideration and we are satisfied that the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trial Judge fully and properly directed herself on all issues. We, on our part, having given most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anxious consideration to the material before the Court, are of the view that, it would be safe to confirm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conviction to stand, and we therefore dismiss the appeal against conviction.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sentence, we are satisfied that the sentence imposed is not in any way illegal. We are also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that having regard to all the circumstances, there is no reason to interfere with the sentence.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upshot of the foregoing is that this </w:t>
      </w:r>
      <w:r>
        <w:rPr>
          <w:rFonts w:ascii="Times New Roman" w:hAnsi="Times New Roman" w:cs="Times New Roman"/>
          <w:color w:val="000000"/>
        </w:rPr>
        <w:lastRenderedPageBreak/>
        <w:t>appeal is dismissed in its entirety.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Ndegwa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Wahome</w:t>
      </w:r>
      <w:proofErr w:type="spellEnd"/>
      <w:r w:rsidR="007D048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respondent:</w:t>
      </w:r>
      <w:r w:rsidR="007D04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Information not available</w:t>
      </w:r>
      <w:r w:rsidR="007D048A">
        <w:t xml:space="preserve"> 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24"/>
    <w:rsid w:val="007D048A"/>
    <w:rsid w:val="00AB7022"/>
    <w:rsid w:val="00DA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99AF1-D68A-4D4A-9435-94241217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2018-07-05T06:35:00Z</dcterms:created>
  <dcterms:modified xsi:type="dcterms:W3CDTF">2018-07-13T07:07:00Z</dcterms:modified>
</cp:coreProperties>
</file>