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Lyomoki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8/04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Freedom of association – Definitions of freedom to associate – Derogations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freedoms to associate.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Principles of interpreting the Constitution.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Trade Unions Act – Constitutionality of various provisions of the Trade Unions Act – Effect of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contravention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provisions of Constitution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05E79" w:rsidRDefault="00405E79" w:rsidP="00050A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petitioners sought declarations, under Article 137 of the Constitution and the Rules of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(Petitions for declarations under Article 137 of the Constitution) (Directions L.N.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4 of 1996) that the definition of an employee association under section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of the Act, insofar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set the minimum number of persons required to form an employees association; that the definition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trade union in section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of the Act, insofar as it prescribes 1000 people as the minimum number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to form a trade union; that section 2(1) of the Act insofar as it ordains the National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Trade Union as the only principal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employees and provides for compulsory affiliation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every trade union; that Section 28 insofar as it subjects a proposed amalgamation of trade unions to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prior consent of a registrar of the Trade Unions; and that the powers of the Minister of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>, Gender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Community Development under section 70 to amend the second schedule, all contravene the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When interpreting an application for constitutional interpretations: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onus is on the petitioner to show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of violation of their constitutional rights.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Thereafter the burden shifts to the respondent to justify that the limitations to the rights in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 is justified by Article 43 of the Constitution;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(ii) The purpose and effect of an impugned legislation are relevant in the determination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constitutionality;</w:t>
      </w:r>
    </w:p>
    <w:p w:rsidR="00405E79" w:rsidRDefault="00050A3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05E79">
        <w:rPr>
          <w:rFonts w:ascii="Times New Roman" w:hAnsi="Times New Roman" w:cs="Times New Roman"/>
          <w:color w:val="000000"/>
        </w:rPr>
        <w:t xml:space="preserve">(iii) </w:t>
      </w:r>
      <w:r>
        <w:rPr>
          <w:rFonts w:ascii="Times New Roman" w:hAnsi="Times New Roman" w:cs="Times New Roman"/>
          <w:color w:val="000000"/>
        </w:rPr>
        <w:t>The</w:t>
      </w:r>
      <w:r w:rsidR="00405E79">
        <w:rPr>
          <w:rFonts w:ascii="Times New Roman" w:hAnsi="Times New Roman" w:cs="Times New Roman"/>
          <w:color w:val="000000"/>
        </w:rPr>
        <w:t xml:space="preserve"> Constitution ought to be looked at as a whole with no one particular provision destroying</w:t>
      </w:r>
      <w:r>
        <w:rPr>
          <w:rFonts w:ascii="Times New Roman" w:hAnsi="Times New Roman" w:cs="Times New Roman"/>
          <w:color w:val="000000"/>
        </w:rPr>
        <w:t xml:space="preserve"> </w:t>
      </w:r>
      <w:r w:rsidR="00405E79">
        <w:rPr>
          <w:rFonts w:ascii="Times New Roman" w:hAnsi="Times New Roman" w:cs="Times New Roman"/>
          <w:color w:val="000000"/>
        </w:rPr>
        <w:t>another but each supporting the other. All the provisions on an issue should be considered together</w:t>
      </w:r>
      <w:r>
        <w:rPr>
          <w:rFonts w:ascii="Times New Roman" w:hAnsi="Times New Roman" w:cs="Times New Roman"/>
          <w:color w:val="000000"/>
        </w:rPr>
        <w:t xml:space="preserve"> </w:t>
      </w:r>
      <w:r w:rsidR="00405E79">
        <w:rPr>
          <w:rFonts w:ascii="Times New Roman" w:hAnsi="Times New Roman" w:cs="Times New Roman"/>
          <w:color w:val="000000"/>
        </w:rPr>
        <w:t>so as to give effect to the purpose of the instrument;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r w:rsidR="00050A39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Constitution should be given a generous and purposive construction especially the part which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protects the entrenched fundamental rights and freedoms;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Where human rights provisions conflict with other provisions of the Constitution, human rights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take precedence and interpretation should favour enjoyment of human rights and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freedoms.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>
        <w:rPr>
          <w:rFonts w:ascii="Times New Roman" w:hAnsi="Times New Roman" w:cs="Times New Roman"/>
          <w:color w:val="000000"/>
        </w:rPr>
        <w:t>Constitutional Petition number 7 of 2002 followed).</w:t>
      </w:r>
    </w:p>
    <w:p w:rsidR="00405E79" w:rsidRPr="00050A3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freedom of association includes the freedom to enter into consensual arrangements to promote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interests and the freedom to disassociate or not associate at all.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Collymore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[1970] AC 352; </w:t>
      </w:r>
      <w:r>
        <w:rPr>
          <w:rFonts w:ascii="Times New Roman" w:hAnsi="Times New Roman" w:cs="Times New Roman"/>
          <w:i/>
          <w:iCs/>
          <w:color w:val="000000"/>
        </w:rPr>
        <w:t xml:space="preserve">TICGFA and 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Sereeram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27 WLR 329 applied).</w:t>
      </w:r>
    </w:p>
    <w:p w:rsidR="00405E79" w:rsidRDefault="00405E79" w:rsidP="00050A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provisions of section 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Trade Unions Act impose a limitation on the freedom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guaranteed under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 Constitution as it prevents 29 or less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employed in the same business or industry from forming an association for purposes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regulating relations with their employer or among themselves. The freedom of association guaranteed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Constitution can be enjoyed by two or any other number of people unless there is a justifiable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against it. To the extent that the section prescribes a minimum of 30 employees in order for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to be formed, it is null and void.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sections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 and 6(3) of the Trade Union Act requiring a minimum of 100 employees for a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 union to be formed appears to limit the freedom of association, the limitation is justifiable and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sections do not contravene the Constitution.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17(1)(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) of the Trade Union Act </w:t>
      </w:r>
      <w:r>
        <w:rPr>
          <w:rFonts w:ascii="Times New Roman" w:hAnsi="Times New Roman" w:cs="Times New Roman"/>
          <w:color w:val="000000"/>
        </w:rPr>
        <w:lastRenderedPageBreak/>
        <w:t xml:space="preserve">requiring that for an employer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a trade union, 51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percent of his employees must be registered members of the union, limits the freedom of association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 by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 of the Constitution. However, these limitations are justified to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 a situation where an employer has to negotiate with two or more trade unions representing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who have common interests. It is reasonable to require that employees with common interests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same employment organise themselves, or at least a majority of them, in one union.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contradiction between the provisions of section 2 of the Act and those of the Constitution.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unconstitutional to form one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by legislation and to require all trade unions to affiliate to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Hence section 2 of the Act, to the extent that it requires all trade unions to affiliate with NOTU is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 and contravenes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is, therefore, null and void to that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requirement in section 28 of the Act that trade unions obtain consent from the registrar in order to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amalgamate is reasonable and does not contravene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because it is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justifiable under Article 43 of the Constitution.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70(1)(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Act giving the Minister powers to amend the schedule of the class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not allowed to join trade unions is reasonable and does not contravene Article 20 of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prescribing a minimum number for employee associations and trade unions, the Act does not take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away the employees’ right and freedom to associate within the context of the Constitution nor does the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fixing of minimum percentages for trade unions to be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by employers take away those rights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freedoms. The Act merely seeks to limit and regulate the enjoyment of those rights and freedoms. It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seeks to ensure order and harmony between the employees and employers at the workplace and to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minimise</w:t>
      </w:r>
      <w:proofErr w:type="spellEnd"/>
      <w:r>
        <w:rPr>
          <w:rFonts w:ascii="Times New Roman" w:hAnsi="Times New Roman" w:cs="Times New Roman"/>
          <w:color w:val="000000"/>
        </w:rPr>
        <w:t xml:space="preserve"> the proliferation of employee associations and trade unions to reduce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the risk of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disruption of work and hardship in the management of industrial relations between employees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their employers. (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JA dissenting)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right and freedom to associate is not absolute, it is </w:t>
      </w:r>
      <w:proofErr w:type="spellStart"/>
      <w:r>
        <w:rPr>
          <w:rFonts w:ascii="Times New Roman" w:hAnsi="Times New Roman" w:cs="Times New Roman"/>
          <w:color w:val="000000"/>
        </w:rPr>
        <w:t>derogable</w:t>
      </w:r>
      <w:proofErr w:type="spellEnd"/>
      <w:r>
        <w:rPr>
          <w:rFonts w:ascii="Times New Roman" w:hAnsi="Times New Roman" w:cs="Times New Roman"/>
          <w:color w:val="000000"/>
        </w:rPr>
        <w:t>, as is the right to collective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bargaining and representation. Regulating the trade union movement and the aspect of affiliation to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NOTU, as a single national employee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by all trade unions, is still necessary and justifiable. This is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simple derogation permitted by the Constitution. (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JA dissenting)</w:t>
      </w:r>
      <w:r w:rsidR="00050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), 1(</w:t>
      </w:r>
      <w:r>
        <w:rPr>
          <w:rFonts w:ascii="Times New Roman" w:hAnsi="Times New Roman" w:cs="Times New Roman"/>
          <w:i/>
          <w:iCs/>
          <w:color w:val="000000"/>
        </w:rPr>
        <w:t>cc</w:t>
      </w:r>
      <w:r>
        <w:rPr>
          <w:rFonts w:ascii="Times New Roman" w:hAnsi="Times New Roman" w:cs="Times New Roman"/>
          <w:color w:val="000000"/>
        </w:rPr>
        <w:t>), 6(3) and 17(1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are not inconsistent with Articles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Constitution; section 2(1) is not inconsistent with Article 29(1)(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Constitution; Section 28 is not inconsistent with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and 40(3)(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section 70 is not inconsistent with Article 20 of the Constitution (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JA dissenting)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1 LRC 63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Major 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color w:val="000000"/>
        </w:rPr>
        <w:t>, Constitutional appeal number 1 of 1997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Collymore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[1970] AC 532 at 547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Constitutional Petition number 5 of 1999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Constitutional case number 1 of 1996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Silvatori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Constitutional case number 2 of 1997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Zachary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Constitutional Petition number 6 of 1999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Momoddon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AC 689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NTN Pty Ltd and NBN Ltd v The State </w:t>
      </w:r>
      <w:r>
        <w:rPr>
          <w:rFonts w:ascii="Times New Roman" w:hAnsi="Times New Roman" w:cs="Times New Roman"/>
          <w:color w:val="000000"/>
        </w:rPr>
        <w:t>1988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South Dakota v North Carolina </w:t>
      </w:r>
      <w:r>
        <w:rPr>
          <w:rFonts w:ascii="Times New Roman" w:hAnsi="Times New Roman" w:cs="Times New Roman"/>
          <w:color w:val="000000"/>
        </w:rPr>
        <w:t>192, US 268 (1940) LED 448.</w:t>
      </w:r>
    </w:p>
    <w:p w:rsidR="00405E79" w:rsidRDefault="00405E79" w:rsidP="0040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TICGFA and 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Seereeram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27 WLR 329</w:t>
      </w:r>
      <w:bookmarkStart w:id="0" w:name="_GoBack"/>
      <w:bookmarkEnd w:id="0"/>
    </w:p>
    <w:sectPr w:rsidR="0040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9"/>
    <w:rsid w:val="00050A39"/>
    <w:rsid w:val="00405E79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4800-48BB-4B65-9FBB-871BAE9B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2018-07-04T19:19:00Z</dcterms:created>
  <dcterms:modified xsi:type="dcterms:W3CDTF">2018-07-13T07:21:00Z</dcterms:modified>
</cp:coreProperties>
</file>