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Lyomoki and others v Attorney-General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Constitutional Court of Uganda at Kampala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2005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8/04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Mpagi-Bahigeine, Engwau, Twinomujuni, Byamugisha and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Kavuma JJA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Freedom of association – Definitions of freedom to associate – Derogations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from the freedoms to associate.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Constitutional law – Principles of interpreting the Constitution.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Trade Unions Act – Constitutionality of various provisions of the Trade Unions Act – Effect of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contravention provisions of Constitution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Twinomujuni JA: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Introduction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petition was brought under Article 137 of the Constitution and the Rules of the Constitutional Court</w:t>
      </w:r>
    </w:p>
    <w:p w:rsidR="002F43AB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(Petitions for Declarations under Article 137 of the Constitution) Directions LN number 4 of 1996.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petitioners are seeking the following declarations: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definition of an employees’ association in section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cc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Act, in as far as it sets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minimum number of persons required to form an employees association, is inconsistent with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definition of a trade union in section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cc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Act, in as far as it prescribes 1000 persons as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minimum number required to form a trade union, is inconsistent with and contravenes Articles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That section 2(1) of the Act is inconsistent with and 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in as far as it: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i) ordains the National Organisation of Trade Unions as the only principal organisation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employees in Uganda;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p rovides for compulsory affiliation of every trade union registered under the Act to the National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Organisation of Trade Unions.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That section 6(3) of the Act is inconsistent with and 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Constitution, in as far as it prohibits the registration of a trade union whose membership is less than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1000 persons.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That section 17(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 is inconsistent with and contrary to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Constitution, in as far as it sets 51 percent as the minimum percentage of employees required to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subscribed, willingly, to a trade union before the employer recognises that trade union.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That section 28 of the Act is inconsistent with and 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Constitution, in as far as it subjects a proposed amalgamation of one or more trade unions to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prior consent of a registrar of Trade Unions.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) That section 70 of the Act is inconsistent with and contravenes the fundamental freedoms enshrined in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Articles 20, 21(1),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Constitution, in as far as it allows a Minister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Labour, Gender and Community Development to amend the second schedule to the Act by addition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thereto.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) That trade unions are free to form and affiliate to any centre or umbrella organisation of their choice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those other organisations or centres are entitled to recognition as alternatives to NOTU and to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enjoy the immunities and privileges conferred by the Act to such centres or organisations.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workers organised under the unions that decided to form and affiliate to the Central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Organisation of Free Trade Unions, were at liberty to exercise their constitutional right.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</w:t>
      </w:r>
      <w:r>
        <w:rPr>
          <w:rFonts w:ascii="Times New Roman" w:hAnsi="Times New Roman" w:cs="Times New Roman"/>
          <w:color w:val="000000"/>
          <w:sz w:val="20"/>
          <w:szCs w:val="20"/>
        </w:rPr>
        <w:t>) An order that the respondent pays the costs of this petition to the petitioners.”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 is supported by the affidavit of the first petitioner. The gist of the affidavit is that the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 Act, 1976 establishes one organisation called, the National Organisation of Trade Unions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(Uganda), hereinafter referred to as NOTU. All trade unions in Uganda are compelled to affiliate with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NOTU. The petitioners being unhappy with the manner NOTU is being managed,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>Page 131 of [2005] 2 EA 127 (CCU)</w:t>
      </w:r>
      <w:r w:rsidR="002F43AB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decided to form another centre called the Central Organisation of Free Trade Unions (Uganda) (COFTU).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seeking its registration under the Act, the government declared it unlawful and refused registration,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hence this petition.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filed an answer to the petition. The answer is a total denial of all the averements made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petition. It is supported by an affidavit of one Sam Serwanga, a Senior State Attorney in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Attorney-General’s chambers. He deponed that in his capacity as an advocate, he does not find any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of the Trade Union Act, Chapter 233 to be inconsistent with or in contravention of any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of the Constitution of Uganda, 1995. The answer is further supported by a supplementary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sworn by another state attorney, Margaret Nabakooza, in which she deponed </w:t>
      </w:r>
      <w:r>
        <w:rPr>
          <w:rFonts w:ascii="Times New Roman" w:hAnsi="Times New Roman" w:cs="Times New Roman"/>
          <w:color w:val="000000"/>
        </w:rPr>
        <w:lastRenderedPageBreak/>
        <w:t>that in many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European countries, like United Kingdom, Austria, Latvia, Ireland and Slovakia, they have only one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Trade Union Centre, just like NOTU. At the trial, the facts deponed to in the affidavits were not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dispute except the legal issues of interpretation.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 Brief History of The Trade Union Movement in Uganda</w:t>
      </w:r>
      <w:r w:rsidR="002F43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be able to appreciate why the impugned provisions of the Trade Union Act, 1976 have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controversial, it is necessary to have a glimpse at the history of the trade union movement in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since independence, in 1962. At that time trade unions were governed by The Trade Union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Ordinance, 1952. The Ordinance remained in force until it was repealed by The Trade Unions Act, 1965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came into force on 2 July 1965. The purpose of the Act was stated to be: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amend and consolidate the law relating to the registration of trade unions, and other purposes connected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therewith.”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Act gave power to the Minister to appoint a registrar and assistant registrars whose main duty was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keep and maintain a register of trade unions in which particulars as may be prescribed by the Minister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recorded, and such other books and documents as the Minister may direct.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trade unions were required to register with the registrar. A trade union was defined as: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combination, whether temporary or permanent, of more than thirty persons, other than an employees’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association, not deemed a trade union under the provisions of section 48 of the Act, the principal object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are under its Constitution, the regulation of relations between employee and employer, or between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employees and employers, or between employers and employees, whether such a combination would or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not, if this Act had not been enacted, have been an unlawful combination by reason of some or more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 objects being in restraint of trade.”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 employees association was also defined as: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combination or association whether temporary or permanent of thirty or more persons in the same type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employment, or in the same trade or industry, whether agricultural or otherwise, the principal object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is the regulation of the relations between the employees and their employer or between themselves,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or not it is required to notify its establishment under the provisions of section 48 of this Act.”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be eligible to be registered, the application form had to be signed by at least 10 members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union. A trade union was deemed to be formed if at least 30 employees or employers agreed, in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writing, to form a trade union. The requirement of at least 30 employees or employers could be waived in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of any trade or business where the employees are not more than 30 in number.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trade union which was not registered under the Act, would be allowed to operate but the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 were allowed to be the negotiating bodies for the employees. The Act bound the employers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negotiate with registered branches. In that Act, there was no requirement that the union would only be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recognised by the employer if 51 percent of the employees were members.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24 of the Act, trade unions were free with prior consent of the registrar to amalgamate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form federations or congresses, by whatever name called, which would also be required to register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registrar. Section 64 excluded soldiers, policemen, prisons officers from membership of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will be observed that under the 1965 Trade Unions Act, the Minister exercised purely regulatory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through the registrar and did not supervise or control the operations of the trade unions. There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 single national trade union centre to which all other unions were required to affiliate.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publication of what is known as the Binaisa Commission Report on Trade Unions of 1968,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arrangement was brought to an end by The Trade Unions Act of 1970, which came into force on 31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1970. The purposes of the new Act were stated to be: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“to establish and regulate an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integrated employees’ trade union, to dissolve the former Uganda Labour</w:t>
      </w:r>
      <w:r w:rsidR="002F43A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Congress and all other trade unions registered under the Trade Unions Act of 1965, </w:t>
      </w:r>
      <w:r>
        <w:rPr>
          <w:rFonts w:ascii="Times New Roman" w:hAnsi="Times New Roman" w:cs="Times New Roman"/>
          <w:color w:val="000000"/>
          <w:sz w:val="20"/>
          <w:szCs w:val="20"/>
        </w:rPr>
        <w:t>to provide for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formation of branch unions, and for other purposes connected therewith.” (Emphasis mine.)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1 of the Act established a single trade union called Uganda Labour Congress which was to be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trade union in Uganda. All the properties, rights, liabilities and obligations of the former Uganda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Labour Congress and all other registered unions were vested in the new Uganda Labour Congress by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virtue of the Act. The newly established union was permitted to operate branches which could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amalgamate with the prior consent of the registrar of Trade Unions. All the members of the abolished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trade unions became automatic members of the Uganda Labour Congress.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branches of the Congress were required to be registered with the registrar, as long as they had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least 1000 employees. Section 18(1)(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Act provided: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registered branch union, members of which are his employees, shall be the negotiating body with which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employer shall be bound to deal in respect of all matters relating to the relations between him and those of his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employees who fall within the scope of membership of the registered branch union, if at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least ten per centum</w:t>
      </w:r>
      <w:r w:rsidR="002F43A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of such employees are members of the branch union</w:t>
      </w:r>
      <w:r>
        <w:rPr>
          <w:rFonts w:ascii="Times New Roman" w:hAnsi="Times New Roman" w:cs="Times New Roman"/>
          <w:color w:val="000000"/>
          <w:sz w:val="20"/>
          <w:szCs w:val="20"/>
        </w:rPr>
        <w:t>” (Emphasis mine.)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register, a branch union had to have a minimum of 1000 members. Other than </w:t>
      </w:r>
      <w:r>
        <w:rPr>
          <w:rFonts w:ascii="Times New Roman" w:hAnsi="Times New Roman" w:cs="Times New Roman"/>
          <w:color w:val="000000"/>
        </w:rPr>
        <w:lastRenderedPageBreak/>
        <w:t>those radical changes,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most provisions of the 1965 Act were retained and the Minister and the Minister’s powers remained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regulatory through the office of the registrar of Trade Unions.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takeover of government by the Iddi Amin military regime, the Trade Unions Act of 1970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amended by the Trade Union Act, 1970 (Amendment) Decree of 1973, whose purpose was stated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amend the Trade Unions Act of 1970, to re-establish the freedom of employment, to form autonomous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 unions and other matters connected therewith.”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Apparently, someone persuaded the new military government of Iddi Amin that the 1970 Act had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abolished freedom of employment and the right to form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autonomous trade unions and that the name “Uganda Labour Congress” was not appropriate. So the new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abolished the name and established the National Oraganization of Trade Unions (NOTU)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re-established the formation of trade unions whose minimum membership had to be at least 1000. All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 had to affiliate to NOTU and to be registered by the registrar. The decree provided that an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employer would not be bound to recognise or negotiate with a union unless 51 percent of his employees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registered with the union. The decree conferred on NOTU more powers, beyond mere regulation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trade unions, as had been the case hitherto, as follows: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“1(2) The purposes of which the National Organisation of Trade Unions is established are: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F43AB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 o formulate policy relating to the proper management of trade unions and the general welfare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employees;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 o co-ordinate and supervise the activities of trade unions in order to ensure that undertakings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entered into by individual unions or by the National Organisation of Trade Unions on behalf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 affiliated unions are duly honoured;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F43AB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 o plan for and, in collaboration with other interested bodies or persons, administer workers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education programmes;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F43AB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 o serve as a link between the registered trade unions on the one hand, and the government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international organisations on the other, regarding all matters of mutual interest;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F43AB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t o serve generally as consultant on all matters relating to trade union affairs.”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Again, apart from these major changes, the rest of the 1970 Act was retained. A new section 16A was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enacted to provide for the formation and registration of union branches of the registered trade unions.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Again, amalgamation of the unions could be done with the prior consent of the registrar.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1976, The Trade Unions Decree, 1976 was enacted whose purposes were stated to be: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amend and to consolidate the law establishing and regulating the National Organisation of Trade Unions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providing for the formation by employees of autonomous trade unions and branch unions of their own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choice, and for other purposes connected therewith.”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Apart from the consolidation of The Trade Unions Act, 1970 and The Trade Union Act 1970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(Amendment Decree) 1973, this 1976 decree did not introduce any significant changes in the substance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trade union law. The Trade Unions Decree 1976 is now called the Trade Union Act, 1976 and it is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one whose impugned provisions are the subject of this petition.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The Issues</w:t>
      </w:r>
      <w:r w:rsidR="002F43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following such issues were framed and agreed upon:</w:t>
      </w:r>
      <w:r w:rsidR="002F43AB">
        <w:rPr>
          <w:rFonts w:ascii="Times New Roman" w:hAnsi="Times New Roman" w:cs="Times New Roman"/>
          <w:color w:val="000000"/>
        </w:rPr>
        <w:t xml:space="preserve"> </w:t>
      </w:r>
    </w:p>
    <w:p w:rsidR="002F43AB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(1) Whether sections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),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cc</w:t>
      </w:r>
      <w:r>
        <w:rPr>
          <w:rFonts w:ascii="Times New Roman" w:hAnsi="Times New Roman" w:cs="Times New Roman"/>
          <w:color w:val="000000"/>
          <w:sz w:val="20"/>
          <w:szCs w:val="20"/>
        </w:rPr>
        <w:t>), 6(3) and 17(1)(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Trade Unions Act are inconsistent with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in as far as they limit members required for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formation of employees associations, trade unions and set a minimum for recognition of trade unions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employers.</w:t>
      </w:r>
    </w:p>
    <w:p w:rsidR="002F43AB" w:rsidRDefault="002F43AB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(2) Whether section 2(1) of the Act is inconsistent with and contravenes Articles 29(1)(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and 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F43AB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Whether section 28 of the Act is inconsistent with and 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Whether section 70 of the Act in inconsistent with and contravenes Article 20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Whether remedies prayed for should be granted.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Counsels’ submissions</w:t>
      </w:r>
      <w:r w:rsidR="002F43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hearing, Mr Joseph </w:t>
      </w:r>
      <w:r>
        <w:rPr>
          <w:rFonts w:ascii="Times New Roman" w:hAnsi="Times New Roman" w:cs="Times New Roman"/>
          <w:i/>
          <w:iCs/>
          <w:color w:val="000000"/>
        </w:rPr>
        <w:t xml:space="preserve">Luswata </w:t>
      </w:r>
      <w:r>
        <w:rPr>
          <w:rFonts w:ascii="Times New Roman" w:hAnsi="Times New Roman" w:cs="Times New Roman"/>
          <w:color w:val="000000"/>
        </w:rPr>
        <w:t xml:space="preserve">represented the petitioners and Mrs Robinah </w:t>
      </w:r>
      <w:r>
        <w:rPr>
          <w:rFonts w:ascii="Times New Roman" w:hAnsi="Times New Roman" w:cs="Times New Roman"/>
          <w:i/>
          <w:iCs/>
          <w:color w:val="000000"/>
        </w:rPr>
        <w:t>Rwakojo</w:t>
      </w:r>
      <w:r>
        <w:rPr>
          <w:rFonts w:ascii="Times New Roman" w:hAnsi="Times New Roman" w:cs="Times New Roman"/>
          <w:color w:val="000000"/>
        </w:rPr>
        <w:t>, a Principal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 Attorney, assisted by Ms Freda </w:t>
      </w:r>
      <w:r>
        <w:rPr>
          <w:rFonts w:ascii="Times New Roman" w:hAnsi="Times New Roman" w:cs="Times New Roman"/>
          <w:i/>
          <w:iCs/>
          <w:color w:val="000000"/>
        </w:rPr>
        <w:t>Kabatsi</w:t>
      </w:r>
      <w:r>
        <w:rPr>
          <w:rFonts w:ascii="Times New Roman" w:hAnsi="Times New Roman" w:cs="Times New Roman"/>
          <w:color w:val="000000"/>
        </w:rPr>
        <w:t>, a state attorney, represented the respondent.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Joseph </w:t>
      </w:r>
      <w:r>
        <w:rPr>
          <w:rFonts w:ascii="Times New Roman" w:hAnsi="Times New Roman" w:cs="Times New Roman"/>
          <w:i/>
          <w:iCs/>
          <w:color w:val="000000"/>
        </w:rPr>
        <w:t>Luswata</w:t>
      </w:r>
      <w:r>
        <w:rPr>
          <w:rFonts w:ascii="Times New Roman" w:hAnsi="Times New Roman" w:cs="Times New Roman"/>
          <w:color w:val="000000"/>
        </w:rPr>
        <w:t>, learned Counsel for the petitioners, made the following arguments in support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issue: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Sections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),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), 6(3) and 17(1)(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set a minimum number that must be present in order to form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employees association or a trade union, ie 30 and 1000 respectively. Section 17(1)(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gives an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employer a right not to recognise a trade union until 51 percent of his/her employees are members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union. In counsel’s view, this meant that if an organisation has less than 30 employees or more but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less than 30 are willing to associate, those who are willing, even if they are 29 would not be able to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associate. This 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In case of trade unions, if a sector does not comprise of one thousand members willing to associate,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cannot form a trade union. If they cannot, then it means that they cannot collectively bargain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contrary to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requirement that 51 percent of employees must be members of a trade union before an employer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recognises it is equally unconstitutional because if an employer does not recognise the union then it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has no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locus standi </w:t>
      </w:r>
      <w:r>
        <w:rPr>
          <w:rFonts w:ascii="Times New Roman" w:hAnsi="Times New Roman" w:cs="Times New Roman"/>
          <w:color w:val="000000"/>
          <w:sz w:val="20"/>
          <w:szCs w:val="20"/>
        </w:rPr>
        <w:t>and cannot advocate for improvement of conditions of workers. In his view, there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no justification for such a condition at all. The definition of “trade union” or “employees’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association” should be free of any numbers and should only focus on common goals or interests. 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saw no reason why an organisation, sector or company should not have many trade unions.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reply, Mrs </w:t>
      </w:r>
      <w:r>
        <w:rPr>
          <w:rFonts w:ascii="Times New Roman" w:hAnsi="Times New Roman" w:cs="Times New Roman"/>
          <w:i/>
          <w:iCs/>
          <w:color w:val="000000"/>
        </w:rPr>
        <w:t xml:space="preserve">Rwakojo </w:t>
      </w:r>
      <w:r>
        <w:rPr>
          <w:rFonts w:ascii="Times New Roman" w:hAnsi="Times New Roman" w:cs="Times New Roman"/>
          <w:color w:val="000000"/>
        </w:rPr>
        <w:t>submitted that freedoms of association guaranteed under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40(3) of the Constitution are not absolute. They can be derogated from. The setting of minimum numbers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Act was required in order to establish some order in the exercise of the freedom of association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prevent a proliferation of numerous small employees associations and trade unions. She argued that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 can be easily manipulated by politicians and they tend to lose the aims for which they were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established. In order to be viable, they need to compose of the requisite minimum number of employees.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second issue, Mr </w:t>
      </w:r>
      <w:r>
        <w:rPr>
          <w:rFonts w:ascii="Times New Roman" w:hAnsi="Times New Roman" w:cs="Times New Roman"/>
          <w:i/>
          <w:iCs/>
          <w:color w:val="000000"/>
        </w:rPr>
        <w:t xml:space="preserve">Luswata </w:t>
      </w:r>
      <w:r>
        <w:rPr>
          <w:rFonts w:ascii="Times New Roman" w:hAnsi="Times New Roman" w:cs="Times New Roman"/>
          <w:color w:val="000000"/>
        </w:rPr>
        <w:t>submitted that section 2(1) of the Act established NOTU as the only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labour centre in the country and all trade unions are required to affiliate with it at the apex. This deprives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unions and its members the right of association, as they have no choice to choose with whom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associate and takes away their right not to associate if they choose to. He pointed out that section 2(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gives regulatory, policy and enforcement roles to NOTU some of which contain limitations to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association that cannot pass the test in Article 43(2)(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Constitution. In his view,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contains many provisions that can regulate trade unions without requiring them to belong to one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centre. He gave an example of sections 6, 8, 9, 24, 32, 41, 42, 44, 45, 46, 56 etc which he submitted were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enough to protect members of the trade unions and public interest.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Mrs </w:t>
      </w:r>
      <w:r>
        <w:rPr>
          <w:rFonts w:ascii="Times New Roman" w:hAnsi="Times New Roman" w:cs="Times New Roman"/>
          <w:i/>
          <w:iCs/>
          <w:color w:val="000000"/>
        </w:rPr>
        <w:t xml:space="preserve">Rwakojo </w:t>
      </w:r>
      <w:r>
        <w:rPr>
          <w:rFonts w:ascii="Times New Roman" w:hAnsi="Times New Roman" w:cs="Times New Roman"/>
          <w:color w:val="000000"/>
        </w:rPr>
        <w:t>did not agree. She argued that the requirement for all trade unions to affiliate with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NOTU does not violate the Constitution. She said it was necessary to have one centre to prevent workers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forming opportunistic unions and to centralise the formulation of trade union policy. In her view, this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good thing for the workers of Uganda and did not go beyond what is acceptable in a democratic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society.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third issue, Mr </w:t>
      </w:r>
      <w:r>
        <w:rPr>
          <w:rFonts w:ascii="Times New Roman" w:hAnsi="Times New Roman" w:cs="Times New Roman"/>
          <w:i/>
          <w:iCs/>
          <w:color w:val="000000"/>
        </w:rPr>
        <w:t xml:space="preserve">Luswata </w:t>
      </w:r>
      <w:r>
        <w:rPr>
          <w:rFonts w:ascii="Times New Roman" w:hAnsi="Times New Roman" w:cs="Times New Roman"/>
          <w:color w:val="000000"/>
        </w:rPr>
        <w:t>submitted that the requirement in section 28 of the Act that before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 can amalgamate, they must seek the consent of the registrar was clearly unconstitutional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Constitution. In his view, once associations are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formed, they should be free to merge and need no permission from anyone. If permission is sought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refused, members of the unions lose the right to collective bargaining, contrary to Article 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Mrs </w:t>
      </w:r>
      <w:r>
        <w:rPr>
          <w:rFonts w:ascii="Times New Roman" w:hAnsi="Times New Roman" w:cs="Times New Roman"/>
          <w:i/>
          <w:iCs/>
          <w:color w:val="000000"/>
        </w:rPr>
        <w:t>Rwakojo</w:t>
      </w:r>
      <w:r>
        <w:rPr>
          <w:rFonts w:ascii="Times New Roman" w:hAnsi="Times New Roman" w:cs="Times New Roman"/>
          <w:color w:val="000000"/>
        </w:rPr>
        <w:t>’s reply was that section 28 was intended to ensure that workers are not cheated through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amalgamations and moreover, the registrar’s refusal to consent to amalgamation of any unions can be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from. In her view, the provision was reasonable.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fourth issue, Mr </w:t>
      </w:r>
      <w:r>
        <w:rPr>
          <w:rFonts w:ascii="Times New Roman" w:hAnsi="Times New Roman" w:cs="Times New Roman"/>
          <w:i/>
          <w:iCs/>
          <w:color w:val="000000"/>
        </w:rPr>
        <w:t xml:space="preserve">Luswata </w:t>
      </w:r>
      <w:r>
        <w:rPr>
          <w:rFonts w:ascii="Times New Roman" w:hAnsi="Times New Roman" w:cs="Times New Roman"/>
          <w:color w:val="000000"/>
        </w:rPr>
        <w:t>pointed out that section 70 of the Act gave the Minister in charge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Trade Union Act power to amend schedule II thereof. He submitted that this included power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exclude any person from participation in trade union activities, yet the power to participate in trade union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activities is so fundamental and should not be left in the hands of one individual, to do so conflicts with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20 of the Constitution.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Mrs </w:t>
      </w:r>
      <w:r>
        <w:rPr>
          <w:rFonts w:ascii="Times New Roman" w:hAnsi="Times New Roman" w:cs="Times New Roman"/>
          <w:i/>
          <w:iCs/>
          <w:color w:val="000000"/>
        </w:rPr>
        <w:t>Rwakojo</w:t>
      </w:r>
      <w:r>
        <w:rPr>
          <w:rFonts w:ascii="Times New Roman" w:hAnsi="Times New Roman" w:cs="Times New Roman"/>
          <w:color w:val="000000"/>
        </w:rPr>
        <w:t>’s short reply was that section 70 of the Act did not authorise such a thing and that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whatever the Minister did under the authority of that section was not final, but appealable in courts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Consideration of and findings on issues</w:t>
      </w:r>
      <w:r w:rsidR="002F43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I. </w:t>
      </w:r>
      <w:r>
        <w:rPr>
          <w:rFonts w:ascii="Times New Roman" w:hAnsi="Times New Roman" w:cs="Times New Roman"/>
          <w:i/>
          <w:iCs/>
          <w:color w:val="000000"/>
        </w:rPr>
        <w:t>Interpretation</w:t>
      </w:r>
      <w:r w:rsidR="002F43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Guiding principles of constitutional interpretation</w:t>
      </w:r>
      <w:r>
        <w:rPr>
          <w:rFonts w:ascii="Times New Roman" w:hAnsi="Times New Roman" w:cs="Times New Roman"/>
          <w:b/>
          <w:bCs/>
          <w:color w:val="000000"/>
        </w:rPr>
        <w:t>:</w:t>
      </w:r>
      <w:r w:rsidR="002F43A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of constitutional interpretation in Uganda have been extensively articulated in numerous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decided by the Constitutional Court of Uganda and the Supreme Court of Uganda. Some of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famous cases in which this has been done are: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Silvatori Abuki and another v Attorney-General,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case number 2 of 1997.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Attorney-General v Abuki (2001) 1 LRC 63.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Major General Tinyefuza v Attorney-General</w:t>
      </w:r>
      <w:r>
        <w:rPr>
          <w:rFonts w:ascii="Times New Roman" w:hAnsi="Times New Roman" w:cs="Times New Roman"/>
          <w:color w:val="000000"/>
          <w:sz w:val="20"/>
          <w:szCs w:val="20"/>
        </w:rPr>
        <w:t>, Constitutional case number 1 of 1996.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Attorney-General v Major General Tinyefuza</w:t>
      </w:r>
      <w:r>
        <w:rPr>
          <w:rFonts w:ascii="Times New Roman" w:hAnsi="Times New Roman" w:cs="Times New Roman"/>
          <w:color w:val="000000"/>
          <w:sz w:val="20"/>
          <w:szCs w:val="20"/>
        </w:rPr>
        <w:t>, Constitutional appeal number 1 of 1997.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Dr James Rwanyarare and Anor v Attorney-General</w:t>
      </w:r>
      <w:r>
        <w:rPr>
          <w:rFonts w:ascii="Times New Roman" w:hAnsi="Times New Roman" w:cs="Times New Roman"/>
          <w:color w:val="000000"/>
          <w:sz w:val="20"/>
          <w:szCs w:val="20"/>
        </w:rPr>
        <w:t>, Constitutional Petition number 5 of 1999.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Zachary Olum and Anor v Attorney-General</w:t>
      </w:r>
      <w:r>
        <w:rPr>
          <w:rFonts w:ascii="Times New Roman" w:hAnsi="Times New Roman" w:cs="Times New Roman"/>
          <w:color w:val="000000"/>
          <w:sz w:val="20"/>
          <w:szCs w:val="20"/>
        </w:rPr>
        <w:t>, Constitutional Petition number 6 of 1999.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is to mention only a few. In this petition, I do not intend to go through all of them. I shall only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mention a few, which I consider relevant to the determination of issues in this particular petition. They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to be found in the judgment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court in the case of </w:t>
      </w:r>
      <w:r>
        <w:rPr>
          <w:rFonts w:ascii="Times New Roman" w:hAnsi="Times New Roman" w:cs="Times New Roman"/>
          <w:i/>
          <w:iCs/>
          <w:color w:val="000000"/>
        </w:rPr>
        <w:t>Dr James Rwanyarare and others v Attorney-General</w:t>
      </w:r>
      <w:r>
        <w:rPr>
          <w:rFonts w:ascii="Times New Roman" w:hAnsi="Times New Roman" w:cs="Times New Roman"/>
          <w:color w:val="000000"/>
        </w:rPr>
        <w:t>, Constitutional Petition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7 of 2002, and they are: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(1) The onus is on the petitioners to show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case of violation of their constitutional rights.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Thereafter, the burden shifts to the respondent to justify that the limitations to the rights contained in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impugned statute is justified within the meaning of Article 43 of the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Both purpose and effect of an impugned legislation are relevant in the determination of its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constitutionality.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Constitution is to be looked at as a whole. It has to be read as an integrated whole, with no one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 provision destroying another but each supporting the other. All provisions concerning an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issue should be considered together so as to give effect to the purpose of the instrument.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See South</w:t>
      </w:r>
      <w:r w:rsidR="002F43A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Dakota v North Carolina </w:t>
      </w:r>
      <w:r>
        <w:rPr>
          <w:rFonts w:ascii="Times New Roman" w:hAnsi="Times New Roman" w:cs="Times New Roman"/>
          <w:color w:val="000000"/>
          <w:sz w:val="20"/>
          <w:szCs w:val="20"/>
        </w:rPr>
        <w:t>192, US 268 (1940) LED 448.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The Constitution should be given a generous and purposive construction especially the part which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protects the entrenched fundamental rights and freedoms.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See Attorney-General v Momoddon Jobo</w:t>
      </w:r>
      <w:r w:rsidR="002F43A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[1984] AC 689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.</w:t>
      </w:r>
      <w:r w:rsidR="002F43A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Where human rights provisions conflict with other provisions of the Constitution, human rights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take precedence and interpretation should favour enjoyment of the human rights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freedoms.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See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Petition number 5 of 2002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II. </w:t>
      </w:r>
      <w:r>
        <w:rPr>
          <w:rFonts w:ascii="Times New Roman" w:hAnsi="Times New Roman" w:cs="Times New Roman"/>
          <w:i/>
          <w:iCs/>
          <w:color w:val="000000"/>
        </w:rPr>
        <w:t>The Law</w:t>
      </w:r>
      <w:r w:rsidR="002F43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Ugandan Constitution, unlike in many constitutions of countries of the Commonwealth,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which guarantee the freedom of association and the right to form and participate in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 is unambiguous and very clear. They are to be found in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 of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Article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provides: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“Every person shall have the right to freedom of association which shall include the freedom to form and join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associations or unions, including trade unions and political and other civic organisations.”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Article 40(3) provides: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“Every worker has a right: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to form or join a trade union of his or her choice for the promotion and protection of his or her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economic and social interests;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to collective bargaining and representation;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to withdraw his or her labour according to law.”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expression “freedom of association” is not defined in the Constitution. Decided cases on freedom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 in East Africa are not easy to come by. So we have to turn elsewhere in the common law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jurisdictions for guidance. One definition is to be found in the privy council decision in </w:t>
      </w:r>
      <w:r>
        <w:rPr>
          <w:rFonts w:ascii="Times New Roman" w:hAnsi="Times New Roman" w:cs="Times New Roman"/>
          <w:i/>
          <w:iCs/>
          <w:color w:val="000000"/>
        </w:rPr>
        <w:t>Collymore v</w:t>
      </w:r>
      <w:r w:rsidR="002F43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>[1970] AC 532 at 547, a case originating from Trinidad and Tobago, in which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Wooding CJ, stated: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“Freedom of association means no more than freedom to enter into consensual arrangements to promote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common interest objects of the associating group. The objects may be any of many. They may be religions or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social, political or philosophical, educational or cultural, sporting or charitable. But the freedom to associate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confers neither right nor licence for a course of conduct or for the commission of acts which in the view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 are inimical to the peace, order and good governance of the country.”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another case from the same country in </w:t>
      </w:r>
      <w:r>
        <w:rPr>
          <w:rFonts w:ascii="Times New Roman" w:hAnsi="Times New Roman" w:cs="Times New Roman"/>
          <w:i/>
          <w:iCs/>
          <w:color w:val="000000"/>
        </w:rPr>
        <w:t xml:space="preserve">TICGFA and Attorney-General v Seereeram </w:t>
      </w:r>
      <w:r>
        <w:rPr>
          <w:rFonts w:ascii="Times New Roman" w:hAnsi="Times New Roman" w:cs="Times New Roman"/>
          <w:color w:val="000000"/>
        </w:rPr>
        <w:t>[1975] 27 WLR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329, the Court of Appeal held that freedom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 included the freedom to disassociate or not to associate at all. Hyatali CJ, stated that the right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disassociate was a natural concomitant of the right to associate.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Uganda, like in many countries in the world, freedom of association is not absolute. It is subject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contained in Article 43 of the Constitution which stipulates: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In the enjoyment of rights and freedoms prescribed in this chapter, no person shall prejudice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fundamental or other human rights and freedoms of others or public interest.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Public interest under this Article shall not permit: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p olitical persecution;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d etention without trial;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a ny limitation of the enjoyment of the rights and freedoms prescribed by this chapter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beyond</w:t>
      </w:r>
      <w:r w:rsidR="002F43A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what is acceptable and demonstrably justifiable in a free and democratic society, or what is</w:t>
      </w:r>
      <w:r w:rsidR="002F43A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provided in this Constitution</w:t>
      </w:r>
      <w:r>
        <w:rPr>
          <w:rFonts w:ascii="Times New Roman" w:hAnsi="Times New Roman" w:cs="Times New Roman"/>
          <w:color w:val="000000"/>
          <w:sz w:val="20"/>
          <w:szCs w:val="20"/>
        </w:rPr>
        <w:t>.” (Emphasis mine.)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So, in this petition and in respect of every impugned provision of The Trade Union Act, 1976, the court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consider and answer two questions: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Does the impugned provision infringe the freedom of association guaranteed in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40(3) of the Constitution?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If the answer is in affirmative, is the provision justifiable within the meaning of Article 43(2)(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of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Constitution?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If the answer to both these questions is in affirmative, then the impugned provision does not violate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cannot be successfully challenged in this Court. If the answer to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above is in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negative, then the impugned provision contravenes the Constitution and must be declared null and void.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III. </w:t>
      </w:r>
      <w:r>
        <w:rPr>
          <w:rFonts w:ascii="Times New Roman" w:hAnsi="Times New Roman" w:cs="Times New Roman"/>
          <w:i/>
          <w:iCs/>
          <w:color w:val="000000"/>
        </w:rPr>
        <w:t>Issue number 1</w:t>
      </w:r>
      <w:r w:rsidR="002F43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issue, four sections of The Trade Unions Act, 1976 are challenged as being in contravention of, or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inconsistent, with the freedom of association Articles of the Constitution. They are: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Section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which is the definition of an 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employee association</w:t>
      </w:r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Section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cc</w:t>
      </w:r>
      <w:r>
        <w:rPr>
          <w:rFonts w:ascii="Times New Roman" w:hAnsi="Times New Roman" w:cs="Times New Roman"/>
          <w:color w:val="000000"/>
          <w:sz w:val="20"/>
          <w:szCs w:val="20"/>
        </w:rPr>
        <w:t>) which is the definition of 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trade union</w:t>
      </w:r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Section 6(3) which stipulates that a union must have at least 1000 members before it is registered as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Section 17(1)(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which provides that for a union to be recognised by an employer, at least 51 percent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his or her employees must be registered members of that union.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will consider each section separately, except sections 1(</w:t>
      </w:r>
      <w:r>
        <w:rPr>
          <w:rFonts w:ascii="Times New Roman" w:hAnsi="Times New Roman" w:cs="Times New Roman"/>
          <w:i/>
          <w:iCs/>
          <w:color w:val="000000"/>
        </w:rPr>
        <w:t>cc</w:t>
      </w:r>
      <w:r>
        <w:rPr>
          <w:rFonts w:ascii="Times New Roman" w:hAnsi="Times New Roman" w:cs="Times New Roman"/>
          <w:color w:val="000000"/>
        </w:rPr>
        <w:t>) and 6(3) which I will consider together for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reasons which will be easy to appreciate.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section an employees association is defined as follows: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“any combination or association whether temporary or permanent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thirty or more persons </w:t>
      </w:r>
      <w:r>
        <w:rPr>
          <w:rFonts w:ascii="Times New Roman" w:hAnsi="Times New Roman" w:cs="Times New Roman"/>
          <w:color w:val="000000"/>
          <w:sz w:val="20"/>
          <w:szCs w:val="20"/>
        </w:rPr>
        <w:t>in the same type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employment, or in the same trade or industry, whether agricultural or otherwise, the principal object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is the regulation of the relationship between the employees and their employers or between themselves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or not it is required to notify its establishment under section 55.” (Emphasis mine.)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the contention of the petitioners that the requirement that to form an employees </w:t>
      </w:r>
      <w:r>
        <w:rPr>
          <w:rFonts w:ascii="Times New Roman" w:hAnsi="Times New Roman" w:cs="Times New Roman"/>
          <w:color w:val="000000"/>
        </w:rPr>
        <w:lastRenderedPageBreak/>
        <w:t>association, there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at least thirty employees of the same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industry is an unjustifiable infringement of the freedom of association and contravenes Articles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 of the Constitution. Counsel for the petitioners did not see why employees of a small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 numbering 29 or less, should not associate for the purpose of dealing with their employer or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each other.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other hand, Mrs </w:t>
      </w:r>
      <w:r>
        <w:rPr>
          <w:rFonts w:ascii="Times New Roman" w:hAnsi="Times New Roman" w:cs="Times New Roman"/>
          <w:i/>
          <w:iCs/>
          <w:color w:val="000000"/>
        </w:rPr>
        <w:t xml:space="preserve">Rwakojo </w:t>
      </w:r>
      <w:r>
        <w:rPr>
          <w:rFonts w:ascii="Times New Roman" w:hAnsi="Times New Roman" w:cs="Times New Roman"/>
          <w:color w:val="000000"/>
        </w:rPr>
        <w:t>for the respondent explained that the requirement of 30 employees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minimum to form an employees association is meant to establish some order in labour relations and not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limit the freedom of association. She did not explain how such limitation could establish order. In her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the provision was reasonable because freedom of association was not absolute.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find any difficulty in deciding that the provisions of section 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Trade Unions Act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impose a limitation on the freedom of association guaranteed under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 of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This is because in labour relations, that provision prevents 29 or less employees, employed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same business or industry, from forming an association for purposes of regulating relations with their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employer or among themselves. The freedom of association guaranteed under the Constitution can be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enjoyed by two or any other number of people unless there is a justifiable reason against it. The only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remaining question, then, is whether the limitation can be justified under Article 43(2)(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The burden to make the justification is on the respondent - the state- which seeks to assert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provision is justified. Counsel for the respondent did not give any sound reason to justify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Employees associations are not trade unions at all. In his book </w:t>
      </w:r>
      <w:r>
        <w:rPr>
          <w:rFonts w:ascii="Times New Roman" w:hAnsi="Times New Roman" w:cs="Times New Roman"/>
          <w:b/>
          <w:bCs/>
          <w:color w:val="000000"/>
        </w:rPr>
        <w:t>“</w:t>
      </w:r>
      <w:r>
        <w:rPr>
          <w:rFonts w:ascii="Times New Roman" w:hAnsi="Times New Roman" w:cs="Times New Roman"/>
          <w:i/>
          <w:iCs/>
          <w:color w:val="000000"/>
        </w:rPr>
        <w:t>Trade Union Law In Uganda</w:t>
      </w:r>
      <w:r>
        <w:rPr>
          <w:rFonts w:ascii="Times New Roman" w:hAnsi="Times New Roman" w:cs="Times New Roman"/>
          <w:b/>
          <w:bCs/>
          <w:color w:val="000000"/>
        </w:rPr>
        <w:t>”,</w:t>
      </w:r>
      <w:r w:rsidR="002F43A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Sabastian Angeret, a former lecturer at the Law Development Centre, now in private practice, comments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7 on employees associations as follows: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has been pointed out (by Scott and Roger in ‘The Development of Trade Unions in Uganda’) that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employees’ associations were introduced as probationary trade unions, that is, as embryonic organisations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would be afforded time to gain organising experience before becoming fully fledged trade unions.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During that time, they would be exempt from compliance with the strict regulatory provisions to which trade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unions were subject. At the same time they would not enjoy the rights and privileges conferred on trade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unions, such as the right to sue and be sued in its own name, the capacity to enter into contracts, and the right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own property. In result, they were not expected during that probationary period to undertake or fulfil any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significant industrial relations function such as collective bargaining. Their only right was the right to exist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to prepare themselves to gain admittance to the status of trade unions.”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Further at 8, he states: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“As already indicated employees’ associations are not expected to assume any significant industrial relations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functions. Thus, an employees’ association is prohibited either by itself or through any person from collecting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even from its own members or from any other person any subscription or pecuniary contribution to its funds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than annual contribution to an office expense fund or welfare fund. These funds are used solely for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defraying office rent, salaries for menial or part-time staff, stationery, postage and other office expenses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welfare purposes respectively. The welfare purposes, however, may be subject to such restrictions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conditions as the Minister may prescribe.”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the same page Mr Angeret concludes: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main object behind employees’ associations is, as has been noted, to enable them in the course of time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mature into and be registered as trade unions. Provisions are, therefore, made for the registration of these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associations as trade unions. This may be on the voluntary application of the association itself on achieving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necessary organisational framework or on the order of the Minister. An order directing an employees’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association to register itself as a trade union may be made by the Minister whenever he is satisfied that an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employees’ association is conducting its affairs in such a manner that is should be regarded as a trade union.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there is failure to comply with any such order any officer who is responsible for any such disobedience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commits an offence. It should, however, be noted that an application by an employees’ association to be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registered as a trade union is also subject to the conditions of registration which are considered in the next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chapter.”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can be seen, employees associations are toothless and have no power to carry out any harmful activity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their employer or the government. They cannot collect money and need not be recognised by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employer. They are not required to register unless they wish to do so. The Minister has the power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intervene and regulate how they operate at every stage. So what makes them harmful, undesirable or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dangerous when they are composed of less than thirty employees? In my judgment, those are even more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toothless. I am equally unable, like counsel for the petitioners to see why such small and toothless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associations should be prohibited. In my judgment, section 1(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Act contravenes freedom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 guaranteed under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 of the Constitution, to the extent that it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prescribes a minimum of 30 employees in order for the association to be formed, it is null and void. Even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people should be free to associate for purposes of protecting their social, political, economic welfare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for other lawful purposes.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1(</w:t>
      </w:r>
      <w:r>
        <w:rPr>
          <w:rFonts w:ascii="Times New Roman" w:hAnsi="Times New Roman" w:cs="Times New Roman"/>
          <w:i/>
          <w:iCs/>
          <w:color w:val="000000"/>
        </w:rPr>
        <w:t>cc</w:t>
      </w:r>
      <w:r>
        <w:rPr>
          <w:rFonts w:ascii="Times New Roman" w:hAnsi="Times New Roman" w:cs="Times New Roman"/>
          <w:color w:val="000000"/>
        </w:rPr>
        <w:t>) and 6(3) of the Act: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lastRenderedPageBreak/>
        <w:t>definition of “trade union” in section 1(</w:t>
      </w:r>
      <w:r>
        <w:rPr>
          <w:rFonts w:ascii="Times New Roman" w:hAnsi="Times New Roman" w:cs="Times New Roman"/>
          <w:i/>
          <w:iCs/>
          <w:color w:val="000000"/>
        </w:rPr>
        <w:t>cc</w:t>
      </w:r>
      <w:r>
        <w:rPr>
          <w:rFonts w:ascii="Times New Roman" w:hAnsi="Times New Roman" w:cs="Times New Roman"/>
          <w:color w:val="000000"/>
        </w:rPr>
        <w:t>) includes requirement that there must be a minimum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1000 employees. Section 6(3) requires that for a trade union to be registered, it must have at least 1000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members. It was submitted for the petitioners that membership in trade unions should not be restricted in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 of numbers. Counsel submitted that in order to conform with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 of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Constitution, any number of employees should be left free to form a trade union. In reply, Mrs </w:t>
      </w:r>
      <w:r>
        <w:rPr>
          <w:rFonts w:ascii="Times New Roman" w:hAnsi="Times New Roman" w:cs="Times New Roman"/>
          <w:i/>
          <w:iCs/>
          <w:color w:val="000000"/>
        </w:rPr>
        <w:t>Rwakojo</w:t>
      </w:r>
      <w:r w:rsidR="002F43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the regulation of minimum number of trade union membership was justified because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bigger the trade unions, the better for its members.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Mr Sabastian Angeret’s book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he comments on the matter of minimum membership as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One thousand persons – Firstly, it should be composed of one thousand or more persons who are either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employees or employers. The number of one thousand appears to have been fixed primarily with trade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unions of employees in mind. Indeed when the number was first increased from six to thirty by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 Unions Act of 1965, the increase was justified on the ground that it would encourage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formation of viable unions and that potential membership is in fact greater. This same argument may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been responsible for the increase of the number to one thousand by the Trade Unions Act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1970. However it may have the added reason that the Binaisa Commission on Trade Unions of 1968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recommended that it was desirable to have fewer trade unions of employees. It however has resulted in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being only one organisation of employers in Uganda.”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this statement, it can be seen that the requirement of 1000 minimum membership which first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in the Trade Unions Act of 1970 was enacted after careful thought, consideration and research.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 was to avoid too many small unions. There was also a recommendation of the Binaisa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on Trade Unions of 1968 that it would be better to have fewer but economically viable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unions. The limitation was, therefore, not arbitrary in the circumstances of 1970. I am not convinced that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situation has changed now to justify me to condemn the restrictions I believe, when the situation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warrants, Parliament will make the necessary adjustments. My conclusion on this is that though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appears, not to remove but to limit freedom of association, the limitation is justifiable and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sections under consideration do not contravene the Constitution.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17(1)(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Act: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section requires that for an employer to recognise a trade union,51 percent of his employees must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registered members of the union. I do not intend to say much about this requirement. I have studied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arguments for and against this requirement. I agree that it places a limitation on the freedom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 guaranteed by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 of the Constitution. However, I have no hesitation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holding that the limitation is justified. It would be chaotic if an employer was faced with a situation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in one business or industry, he had to negotiate with two or more trade unions representing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who have common interests. It is reasonable to require that employees with common interests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same employment organise themselves, or at least the majority of them, in one union. This section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justifiable.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IV </w:t>
      </w:r>
      <w:r>
        <w:rPr>
          <w:rFonts w:ascii="Times New Roman" w:hAnsi="Times New Roman" w:cs="Times New Roman"/>
          <w:i/>
          <w:iCs/>
          <w:color w:val="000000"/>
        </w:rPr>
        <w:t>I ssue number 2</w:t>
      </w:r>
      <w:r w:rsidR="002F43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is whether section 2(1) of the Act is inconsistent with and contravenes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Constitution. Section 2(1) provides: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National Organisation of Trade Unions established by The Trade Unions (Amendment) Decree of 1973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(published on 8 December 1973), and functioning immediately before the commencement of this Act, shall be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only principal organisation of employees in Uganda, and all registered trade unions shall affiliate thereto.”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we have seen above, in Uganda, freedom of association is not limited to an individual’s right to enter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consensual arrangements to promote the common interest objects of the associating groups. It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includes the right to form and join political parties, trade unions and other civic organisations of one’s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choice. In her book </w:t>
      </w:r>
      <w:r>
        <w:rPr>
          <w:rFonts w:ascii="Times New Roman" w:hAnsi="Times New Roman" w:cs="Times New Roman"/>
          <w:i/>
          <w:iCs/>
          <w:color w:val="000000"/>
        </w:rPr>
        <w:t xml:space="preserve">Fundamental Rights in Commonwealth Carribbean Constitutions </w:t>
      </w:r>
      <w:r>
        <w:rPr>
          <w:rFonts w:ascii="Times New Roman" w:hAnsi="Times New Roman" w:cs="Times New Roman"/>
          <w:color w:val="000000"/>
        </w:rPr>
        <w:t>Margaret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Demerieux states that: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definition (of freedom of association quoted earlier in this judgment) omits a crucial element of the right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a fundamental freedom regulating the constitutional relationship between the state and the individual, or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individuals, by failing to state that the right and protection it gives should mean in the first place, and as a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positive component, that the state and public authorities, may not prevent or ‘hinder’ persons from entering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into consensual arrangements described in the passage quoted and that the state is not permitted to form, for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example, trade unions to which workers are compelled to belong, or to forbid membership in private unions.”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we have seen above on the legislative history of trade unions in Uganda, the state enacted The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 Act of 1970, in which all existing trade unions and congresses were abolished. The Act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only one trade union called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Uganda Labour Congress. I am not aware whether this provision was ever challenged because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clearly, it conflicted with Article 18(1) of the Constitution of Uganda of 1967. The Act prohibited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formation of any other trade union. Only branches of the Uganda Labour Congress could be established.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The Trade Unions Act (amendment) Decree 1973 and the current Trade Union Act of 1976 authorise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formation of trade unions but they must be affiliated to a state created organisation called National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Organisation of Trade Unions (NOTU). No trade union is allowed to exist and register unless it is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affiliated to NOTU. NOTU was given powers and functions in section 2(2) of the Act which make it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all-powerful Uncle Sam with powers to virtually run all trade unions. The Minister of Labour and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for Labour who is also the registrar of trade unions, control the trade unions through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NOTU. Once a trade union gets affiliated to NOTU, it is not allowed to withdraw unless it wants to cease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a trade union as such. All this is in evidence in the affidavit of the first petitioner, which is not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challenged. The question is: is this consistent with the enjoyment of freedom of association guaranteed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)? In my judgment, there is a glaring contradiction between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section 2 of the Act and those of the Constitution.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already stated, freedom of association is not absolute. It is subject to the provisions of Article 43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Constitution, which I have already produced above. If the section is found to fall within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perimeters and standards set by that Article, then the provisions of the section are justified. If not, they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null and void.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dilemma of the state can be understandably demonstrated by the following historical account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NOTU found in “</w:t>
      </w:r>
      <w:r>
        <w:rPr>
          <w:rFonts w:ascii="Times New Roman" w:hAnsi="Times New Roman" w:cs="Times New Roman"/>
          <w:i/>
          <w:iCs/>
          <w:color w:val="000000"/>
        </w:rPr>
        <w:t>Trade Union Law in Uganda</w:t>
      </w:r>
      <w:r>
        <w:rPr>
          <w:rFonts w:ascii="Times New Roman" w:hAnsi="Times New Roman" w:cs="Times New Roman"/>
          <w:color w:val="000000"/>
        </w:rPr>
        <w:t>”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At 41, he states: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Uganda, as in practically all other countries, trade unions realised the need to form themselves into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umbrella organisations invariably called federations or congresses of trade unions in order to enhance their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effectiveness. Thus, the first such organisation in Uganda called the Uganda Trade Unions Congress (UTUC)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formed in 1955. Unfortunately the UTUC was from the very beginning characterised by internal wrangles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power which eventually led to the formation of a splinter organisation, the Uganda Federation of Labour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1961. Although the UFL had a brief life, it was replaced as a rival organisation to the UTUC by yet another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splinter organisation from UTUC, the Federation of Uganda Trade Unions (FUTU) which was formed in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1964.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Due to the internal power struggles in these organisations, the rivalry between them, the resultant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negative effects on the trade union movement as a whole and the consequent instability in the overall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industrial relations situation in the country, the Government began to show a very keen interest in these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organisations with a view to introducing some order into them and thereby restore much needed stability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industrial relations situation.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an obvious desired goal of the Government that all trade unions in the country should be united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one strong central organisation. Initially the Government persued extra-legal measures in an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 to achieve this objective. Thus in 1967, the Government sponsored the merger of the rival UTUC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FUTU into a single organisation, the Uganda Labour Congress (ULC). Unhappily however, this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merger did not improve matters in any meaningful way as even the Uganda Labour Congress was also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continually harassed by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old rivalries and wrangles which again reared their heads in the new organisation. The confusion in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Labour Congress reached such a point that the Government appointed a committee of inquiry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reported in 1968.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that time it had become clear that part of the problem was caused by the almost total absence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effective legal regulation of these type of organisations. It has been pointed out that under the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 Ordinance of 1952 federations or congress of trade unions were not required to register as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unions. This meant that these organisations were therefore not subject to the provisions of the Ordinance.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under the Trade Unions Act of 1965, the registrar was empowered not only to require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organisations of trade unions to notify their existence to the registrar but also to subject them to any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Act.”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history of the Trade Union Movement and the Binaisa Commission Report of 1968 that fewer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trade unions were preferable for the good of the economy, was followed by the enactment of the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 Act of 1970. However, the dissolution of all trade unions and the establishment of The Uganda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Labour Congress as the only single trade union for all workers in Uganda, was an overreaction. Under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18 of the 1967 Constitution, it could have been declared null and void if it had been challenged in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The same applies to the subsequent conversion of The Uganda Labour Congress into NOTU by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1973 Decree and its retention in The Trade Unions Act of 1976.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affidavit of Dr Lyomoki, the first petitioner, clearly shows that even now, the problems that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 of the Act tried to solve are still with us. A number of trade unions and individuals do not like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policies and the management of NOTU. They wish to quit. Section 2 was enacted long before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 were enacted. Now it is the duty of the State to justify that the limitation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freedom of association introduced by the requirement that all </w:t>
      </w:r>
      <w:r>
        <w:rPr>
          <w:rFonts w:ascii="Times New Roman" w:hAnsi="Times New Roman" w:cs="Times New Roman"/>
          <w:color w:val="000000"/>
        </w:rPr>
        <w:lastRenderedPageBreak/>
        <w:t>trade unions must affiliate to NOTU is a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“limitation of the right (to freedom of association which does not go) beyond what is acceptable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demonstrably justifiable in a free and democratic society”.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Binaisa Commission report, 1968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recommended that it may be better to have fewer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 than to have a multiplicity of them, that was the justification for abolishing all of them in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Trade Union Act, 1970. It is also true that it may be better for trade unions, in their own interest,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affiliate or amalgamate in order to have a stronger voice in their relationship with their employer or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government. In many civilised and democratic countries, trade unions have affiliated or amalgamated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one national centre. This is done out of free choice of the unions and it is not enforced by legislation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in Uganda. The trade unions are free to leave such national centre if they so wish. It is also true that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very many countries, some of them even smaller than Uganda, in membership and size, have more than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national trade union centres to which all the trade unions are free to affiliate. This used to be the case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Uganda before 1970. I am reliably informed that the federations or congresses of those days were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bitterly divided by the cold war politics of communism and capitalism</w:t>
      </w:r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which caused a lot of instability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economic and political management of Uganda.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State has not given any justification why, in the year 2005, and especially in light of Articles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40(3), it should form an organisation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 all trade unions to affiliate to it. The state did not claim that this is a justifiable practice in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 societies. While I agree that it would be a sound policy to encourage our trade unions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affiliate under one national centre, it is unconstitutional to form one organisation by legislation and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 all trade unions to affiliate to it. I would hold that section 2 of the Act, to the extent that it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requires all trade unions to affiliate with NOTU, is inconsistent and contravenes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is therefore null and void to that extent.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V. I ssue number 3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issue is whether section 28 of the Trade Unions Act, 1976 contravenes and is inconsistent with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Constitution. The section states: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two or more registered trade unions may, with the prior consent in writing of the registrar and subject to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conditions, as may be specified by the registrar, amalgamate together as one trade union in any case in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at least 50 percent of the delegates called for that purpose agree that the trade union concerned may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enter into any such amalgamation.”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book “</w:t>
      </w:r>
      <w:r>
        <w:rPr>
          <w:rFonts w:ascii="Times New Roman" w:hAnsi="Times New Roman" w:cs="Times New Roman"/>
          <w:i/>
          <w:iCs/>
          <w:color w:val="000000"/>
        </w:rPr>
        <w:t>Trade Union Law In Uganda</w:t>
      </w:r>
      <w:r>
        <w:rPr>
          <w:rFonts w:ascii="Times New Roman" w:hAnsi="Times New Roman" w:cs="Times New Roman"/>
          <w:color w:val="000000"/>
        </w:rPr>
        <w:t>” at 18 has the following comments on amalgamation: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amalgamation of trade unions is provided for in sections 30 and 31 of the Decree. (Now sections 28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29 of The Trade Union Act of 1976). In order for an amalgamation to be valid two conditions have to be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complied with. Firstly, the written consent of the registrar must be sought and obtained. The consent of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registrar may be given subject to any conditions that he may specify for the purpose of the intended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amalgamation. Secondly, each of the trade unions proposing to be amalgamated must have agreed to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amalgamation by the votes of at least fifty percent of its delegates, called for the purpose of considering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question of the amalgamation. The respective trade unions are also required to inform their members of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reasons of the proposed amalgamation and the proposed conditions under which the amalgamation is to take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place. Once the amalgamation is effected, notice of the amalgamation signed jointly by the secretaries of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unions concerned and five members of each trade union and endorsed by the General Secretary of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Organisation of Trade Unions, must be sent to the registrar, specifying the terms of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amalgamation and the proposed name of the amalgamated Trade Union. The notice must be accompanied by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list of the names and the registered numbers of the amalgamating trade unions and a copy of the constitution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rules of the proposed amalgamated trade union. If the registrar is satisfied that the amalgamated trade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union complies with the statutory requirements, he shall register it and thereupon, the amalgamating trade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unions become one trade union. However, any rights and obligations which accrued to or were incurred by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amalgamating trade unions before the amalgamation, are not affected or prejudiced. Any person aggrieved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refusal of the registrar to approve a proposed amalgamation may appeal to the Minister whose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decision, after consultation with the Trade Unions Tribunal, shall be final.”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do not think that this limitation is intended to limit the freedom of association or the right to join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 a trade union. It does not restrict the right of any member to associate or disassociate from any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 or organisation as section 2 of the Act does. It is intended to introduce transparency so that any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 transforming themselves into other bodies, should do so transparently. Otherwise, it would be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 for them to cheat the finances of their members or to defraud their creditors, if they were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to change their legal identity without any conditions. I find that the requirement that they obtain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registrar in order to amalgamate is reasonable and does not contravene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because it is justifiable under Article 43 of the Constitution.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VI. </w:t>
      </w:r>
      <w:r>
        <w:rPr>
          <w:rFonts w:ascii="Times New Roman" w:hAnsi="Times New Roman" w:cs="Times New Roman"/>
          <w:i/>
          <w:iCs/>
          <w:color w:val="000000"/>
        </w:rPr>
        <w:t>Issue number 4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issue is whether section 70 of the Act is inconsistent with and contravenes Article 20 of the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70 of the Act provides: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“70 Ineligibility for membership in trade union and inapplicability of certain law.</w:t>
      </w:r>
    </w:p>
    <w:p w:rsidR="002F43AB" w:rsidRDefault="002F43AB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F43AB" w:rsidRDefault="002F43AB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F43AB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1) T he following persons shall not be eligible to become members of a trade union: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2F43AB" w:rsidRDefault="002F43AB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F43AB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m embers of the Ugandan Peoples’ Defence Forces and members of any police force, or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prisons service, including a local administration police force or prisons service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established by law;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2F43AB" w:rsidRDefault="002F43AB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F43AB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 fficers of the Internal Security Organisation and External Security Organisation;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2F43AB" w:rsidRDefault="002F43AB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 ther persons or categories of persons referred to in the second Sshedule to this Act</w:t>
      </w:r>
      <w:r w:rsidR="002F43A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which schedule the Minister may, from time to time, amend by statutory instrument</w:t>
      </w:r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(Emphasis mine.)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schedule of the Act provides: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“Persons not eligible for membership of a trade union or an employees association affiliated to a trade union: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(1) Officers holding the following offices: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>) P</w:t>
      </w:r>
      <w:r>
        <w:rPr>
          <w:rFonts w:ascii="Times New Roman" w:hAnsi="Times New Roman" w:cs="Times New Roman"/>
          <w:color w:val="000000"/>
          <w:sz w:val="20"/>
          <w:szCs w:val="20"/>
        </w:rPr>
        <w:t>ermanent secretaries;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Heads of department, divisions or sections;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>) S</w:t>
      </w:r>
      <w:r>
        <w:rPr>
          <w:rFonts w:ascii="Times New Roman" w:hAnsi="Times New Roman" w:cs="Times New Roman"/>
          <w:color w:val="000000"/>
          <w:sz w:val="20"/>
          <w:szCs w:val="20"/>
        </w:rPr>
        <w:t>chool headmasters and deputy headmasters;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Principals or directors of institutions of higher learning;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Heads of departments of institutions of higher learning; or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Any other public officer who is on the salary scale U2 or an equivalent or similar scale or who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is above that salary scale.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Officers of the Bank of Uganda holding the following offices: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Governor;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Deputy governor;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>) S</w:t>
      </w:r>
      <w:r>
        <w:rPr>
          <w:rFonts w:ascii="Times New Roman" w:hAnsi="Times New Roman" w:cs="Times New Roman"/>
          <w:color w:val="000000"/>
          <w:sz w:val="20"/>
          <w:szCs w:val="20"/>
        </w:rPr>
        <w:t>ecretary;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General manager;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Heads of department;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Assistant or deputy heads of department;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>) P</w:t>
      </w:r>
      <w:r>
        <w:rPr>
          <w:rFonts w:ascii="Times New Roman" w:hAnsi="Times New Roman" w:cs="Times New Roman"/>
          <w:color w:val="000000"/>
          <w:sz w:val="20"/>
          <w:szCs w:val="20"/>
        </w:rPr>
        <w:t>ersonnel.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Other officers and employees, whether or not in the public service, holding the following offices: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Persons holding the office of personal secretary to any of the offices specified in paragraphs (1), (2)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(3) of this schedule.</w:t>
      </w:r>
    </w:p>
    <w:p w:rsidR="002F43AB" w:rsidRDefault="006D5485" w:rsidP="002F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(5) Officers or employees excluded from membership of trade unions or employees associations by mutual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agreement between an employer and the trade union to which such officers or employees would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otherwise belong”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F43AB" w:rsidRDefault="002F43AB" w:rsidP="002F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F43AB" w:rsidRDefault="006D5485" w:rsidP="002F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If I understood learned Counsel for the petitioners, his main complaint is with section 70(1)(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which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empowers the Minister to amend the second schedule, from time to time, by statutory instrument. His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 contention is that freedom of association guaranteed by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are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important that it would be contrary to Article 20 to leave them at the whim of one person,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20 provides: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“20 (1) Fundamental rights and freedom of the individual are inherent and not granted by the State.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rights and freedom of the individual and groups enshrined in this chapter shall be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respected, upheld and promoted by all organs and agencies of Government and by all persons.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only justification that learned Counsel for the respondent gave in support of section 70 is that it is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better organisation of the trade union movement and is in the interest of workers.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hold the view that most of the provisions of section 70 are justifiable and the petitioners did not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insist that they were not. Chapter IV of our Constitution contains some of the most important provisions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Constitution. The Constitution permits the Legislature to enact laws in derogation of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rights and freedoms, only in order to protect the rights and freedoms of others or in public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interest. As Article 20 states, these rights and freedoms are not dished out by the State. They are inherent.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They should only be restricted in very exceptional circumstances </w:t>
      </w:r>
      <w:r>
        <w:rPr>
          <w:rFonts w:ascii="Times New Roman" w:hAnsi="Times New Roman" w:cs="Times New Roman"/>
          <w:color w:val="000000"/>
        </w:rPr>
        <w:lastRenderedPageBreak/>
        <w:t>mentioned in Article 43. The second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 of the Act deals with the following categories of employees: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Senior officers in the public service of Uganda.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Senior officers of the Bank of Uganda.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Personal secretaries to senior officers in public and private sectors.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Persons whose contract of employment exclude them from membership of trade unions.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70(1)(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Act permits the Minister, by statutory instrument, to amend the schedule. I think it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universally accepted that certain categories of employees must not be permitted to join trade unions.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of those categories are spelt out in section 70 of the Act and schedule two to the Act.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time to time other categories may arise and Parliament is too busy to be expected to amend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list as they arise. It is only reasonable that Parliament delegated that responsibility to the responsible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Minister. The Minister, however, is not free to exercise this discretion arbitrarily. He must only do so in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accordance with Article 43 of the Constitution, namely: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to protect the human rights and freedoms of others.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to protect public interest.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Even then, the protection must not go beyond what is acceptable and demonstrably justifiable in a free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democratic society.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Minister exceeds these limits, the statutory instrument made by him is liable to be challenged in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Therefore, I think that in the circumstances, section 70(1)(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is reasonable and does not contravene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20 of the Constitution.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VII. </w:t>
      </w:r>
      <w:r>
        <w:rPr>
          <w:rFonts w:ascii="Times New Roman" w:hAnsi="Times New Roman" w:cs="Times New Roman"/>
          <w:i/>
          <w:iCs/>
          <w:color w:val="000000"/>
        </w:rPr>
        <w:t>Issue number 5</w:t>
      </w:r>
      <w:r w:rsidR="002F43A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last issue is whether the remedies which the petitioners prayed for should be granted or not.</w:t>
      </w:r>
      <w:r w:rsidR="002F43AB">
        <w:rPr>
          <w:rFonts w:ascii="Times New Roman" w:hAnsi="Times New Roman" w:cs="Times New Roman"/>
          <w:color w:val="000000"/>
        </w:rPr>
        <w:t xml:space="preserve"> </w:t>
      </w:r>
    </w:p>
    <w:p w:rsidR="002F43AB" w:rsidRDefault="002F43AB" w:rsidP="002F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Following my findings on framed issues, I would make the following declarations: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Section 1(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of the Act to the extent that it sets the minimum number of persons required to form an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employees association is inconsistent with and contravenes Articles 29(1)(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and 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the Constitution.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Section 1(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cc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of the Act does not contravene any Article of the Constitution.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Section 2(1) of the Act to the extent that it: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( i) ordains NOTU as the only principal organisation of employees in Uganda.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( ii) p rovides for compulsory affiliation of every trade union registered under the Act to NOTU,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is inconsistent with and contravenes Articles 29(1)(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and 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Section 6(3) of the Act does not contravene any Article of the Constitution.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Section 17(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of the Act does not contravene any Article of the Constitution.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S ection 28 of the Act does not contravene any provision of the Constitution.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Section 70 of the Act is not inconsistent with Article 20 of the Constitution.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 xml:space="preserve">VIII </w:t>
      </w:r>
      <w:r w:rsidR="006D5485">
        <w:rPr>
          <w:rFonts w:ascii="Times New Roman" w:hAnsi="Times New Roman" w:cs="Times New Roman"/>
          <w:i/>
          <w:iCs/>
          <w:color w:val="000000"/>
        </w:rPr>
        <w:t>Conclusion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The Trade Unions Act, 1976, was enacted long before the promulgation of the 1995 Constitution. A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number of its provisions are not in conformity with it. Article 273(1) of the Constitution requires that all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such laws be brought into conformity with the Constitution. The Article provides: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“273 (1) Subject to the provisions of this Article, the operation of the existing law after the coming into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force of this Constitution shall not be affected by the coming into force of this Constitution but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the existing law shall be construed with such modifications, adaptations, qualifications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exceptions as may be necessary to bring it into conformity with this Constitution. 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(2) For the purpose of this Article, the expression “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existing law”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means the written law of Uganda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or any part of it as it existed immediately before the coming into force of this Constitution,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including any Act of Parliament or statute or statutory instrument enacted or made before 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date which is to come into force on or after that date.”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The effect of this judgment is not to condemn The Trade Unions Act or NOTU out of existence. Only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those parts which have been declared to be inconsistent with and in contravention of the Constitution are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affected. What remains must be construed to make sense and be in conformity with the Constitution.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Workers and Unions which wish to remain members of NOTU as constituted after this judgment are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free to do so. However, principles of freedom of association, including the right to form and join unions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of their choice, dictate that no worker or union should be forced to associate or affiliate with a union or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organisation against their choice. Nevertheless, any unions which choose to operate outside NOTU must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comply with the provisions of The Trade Union Act, 1976 which have not been declared to be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inconsistent with or in contravention of the 1995 Constitution.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In result, this petition partially succeeds. However, as the respondent has succeeded in defending,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successfully, many of the impugned provisions of the Act, each party will bear its own costs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D5485">
        <w:rPr>
          <w:rFonts w:ascii="Times New Roman" w:hAnsi="Times New Roman" w:cs="Times New Roman"/>
          <w:color w:val="000000"/>
        </w:rPr>
        <w:t>petition.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 </w:t>
      </w:r>
    </w:p>
    <w:p w:rsidR="002F43AB" w:rsidRDefault="002F43AB" w:rsidP="002F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Kavuma JA: </w:t>
      </w:r>
      <w:r>
        <w:rPr>
          <w:rFonts w:ascii="Times New Roman" w:hAnsi="Times New Roman" w:cs="Times New Roman"/>
          <w:color w:val="000000"/>
        </w:rPr>
        <w:t>I have read in draft the lead judgment of Honourable Mr Justice A Twinomujuni JA. I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generally agree with the reasoning and findings of my brother on most of the issues but differ on others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will indicate later in this judgment.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 was filed by the Honourable Dr Sam Lyomoki, Mudenya Richard, Mbabazi Kigundu,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 Ssali Kigundu, Uganda Printers Journalists Media Paper and Allied Worker’s Union and Uganda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Medical Workers Union (hereinafter referred to as the first, second, third, fourth, fifth and sixth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petitioners respectively and collectively as the petitioners).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They filed the </w:t>
      </w:r>
      <w:r>
        <w:rPr>
          <w:rFonts w:ascii="Times New Roman" w:hAnsi="Times New Roman" w:cs="Times New Roman"/>
          <w:color w:val="000000"/>
        </w:rPr>
        <w:lastRenderedPageBreak/>
        <w:t>petition under Article 137 of the Constitution and the Rules of the Constitutional Court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(Petitions for Declarations under Article 137 of the Constitution) Directions LN number 4 of 1996).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petition, the petitioners allege,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“3. That the definition of an “employees association” under section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Trade Unions Act Chapter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223, Laws of Uganda 2000 (the Act) to the extent that it sets 30 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persons as the minimum number of </w:t>
      </w:r>
      <w:r>
        <w:rPr>
          <w:rFonts w:ascii="Times New Roman" w:hAnsi="Times New Roman" w:cs="Times New Roman"/>
          <w:color w:val="000000"/>
          <w:sz w:val="20"/>
          <w:szCs w:val="20"/>
        </w:rPr>
        <w:t>persons required to form an employee association is inconsistent with and contravenes Articles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 of the Republic of Uganda, 1995. (the Constitution).</w:t>
      </w:r>
    </w:p>
    <w:p w:rsidR="006D5485" w:rsidRDefault="006D5485" w:rsidP="002F4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definition of a “trade union” under section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cc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Act, to the extent that it sets 1000 (one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thousand) persons as the minimum number of persons required to form a trade union, is inconsistent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and 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section 2 subsection 1 of the Act, to the extent that it establishes the National Organisation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 Unions (NOTU) as the only principal organisation of employees and to the extent to which it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requires every trade union established under the Act to affiliate to NOTU, is inconsistent with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contravenes Article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section 6(3) of the Act, to the extent that it prohibits the registration of an association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employees not composed of 1000 (one thousand) of them, is inconsistent with and contravenes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section 17(1)(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Act, to the extent that it makes it a mandatory requirement that an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employer is only bound to recognise a trade union to which 51 percent of his, hers or its employees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willingly joined, is inconsistent with and 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),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8. 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section 28 of the Act, to the extent that it subjects an amalgamation of two or more trade unions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 prior consent of the Registrar of Trade Unions appointed under section 3(1) and (2) of the Act, is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inconsistent with and 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section 70 of the Act, to the extent that it allows a Minister of Gender, Labour and Social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Development, by statutory instrument to amend the second schedule to the Act by addition thereto, is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inconsistent with and contravenes Articles 20, 21(1),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),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petitioners pray that court may grant the following declarations: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definition of an employees association in section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Act, in as far as it sets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minimum number of persons required to form an employees association, is inconsistent with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definition of a Trade Union in section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cc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Act, in as far as it prescribes 1000 persons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the minimum number required to from a trade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union, is inconsistent and 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That section 2(1) of the Act is inconsistent with and contravenes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Constitution in as far as it: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i) ordains the National Organisation of Trade Unions as the</w:t>
      </w:r>
      <w:r w:rsidR="00062467">
        <w:rPr>
          <w:rFonts w:ascii="Times New Roman" w:hAnsi="Times New Roman" w:cs="Times New Roman"/>
          <w:color w:val="000000"/>
          <w:sz w:val="20"/>
          <w:szCs w:val="20"/>
        </w:rPr>
        <w:t xml:space="preserve"> only principal organisation of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employees in Uganda;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ii) p rovides for compulsory affiliation of every trade union registered under the Act to the National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Organisation of Trade Unions.”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The petition is supported by one affidavit sworn to by the first petitioner. The respondent filed an answer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petition in which he denied each and every allegation. The respondent’s answer is supported by an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deponed to by Sam Serwanga a Senior State Attorney at the respondent’s chambers and a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supplementary affidavit sworn by Margaret Nabakooza, a state attorney in the same chambers.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of the petition the following issues were framed and agreed: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Whether sections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),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cc</w:t>
      </w:r>
      <w:r>
        <w:rPr>
          <w:rFonts w:ascii="Times New Roman" w:hAnsi="Times New Roman" w:cs="Times New Roman"/>
          <w:color w:val="000000"/>
          <w:sz w:val="20"/>
          <w:szCs w:val="20"/>
        </w:rPr>
        <w:t>), 6(3) and 17(i)(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Trade Unions Act are inconsistent with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contravene 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in that they prescribe minimum limits of members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 for the formation of employee associations, trade unions and set minimum percentages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required for recognitions of trade unions by employers.</w:t>
      </w:r>
    </w:p>
    <w:p w:rsidR="006D5485" w:rsidRDefault="002F43AB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W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hether section 2(1) of the Trade Unions Act is inconsistent with and contravenes Articles 29(1)(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</w:p>
    <w:p w:rsidR="006D5485" w:rsidRDefault="002F43AB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W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hether section 28 of the Trade Unions Act is inconsistent with and contravenes Articles 29(1)(</w:t>
      </w:r>
      <w:r w:rsidR="006D5485"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) and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</w:p>
    <w:p w:rsidR="006D5485" w:rsidRDefault="002F43AB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W</w:t>
      </w:r>
      <w:r w:rsidR="006D5485">
        <w:rPr>
          <w:rFonts w:ascii="Times New Roman" w:hAnsi="Times New Roman" w:cs="Times New Roman"/>
          <w:color w:val="000000"/>
          <w:sz w:val="20"/>
          <w:szCs w:val="20"/>
        </w:rPr>
        <w:t>hether section 70 of the Trade Unions Act is inconsistent with and contravenes Article 70 of the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Constitution.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Whether the relief and remedies sought should be granted.”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the hearing of the petition, Mr Joseph </w:t>
      </w:r>
      <w:r>
        <w:rPr>
          <w:rFonts w:ascii="Times New Roman" w:hAnsi="Times New Roman" w:cs="Times New Roman"/>
          <w:i/>
          <w:iCs/>
          <w:color w:val="000000"/>
        </w:rPr>
        <w:t xml:space="preserve">Luswata </w:t>
      </w:r>
      <w:r>
        <w:rPr>
          <w:rFonts w:ascii="Times New Roman" w:hAnsi="Times New Roman" w:cs="Times New Roman"/>
          <w:color w:val="000000"/>
        </w:rPr>
        <w:t xml:space="preserve">appeared for the petitioners. Ms Robinah </w:t>
      </w:r>
      <w:r>
        <w:rPr>
          <w:rFonts w:ascii="Times New Roman" w:hAnsi="Times New Roman" w:cs="Times New Roman"/>
          <w:i/>
          <w:iCs/>
          <w:color w:val="000000"/>
        </w:rPr>
        <w:t>Rwakojo,</w:t>
      </w:r>
    </w:p>
    <w:p w:rsidR="006D5485" w:rsidRDefault="006D5485" w:rsidP="002F4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Principal State Attorney, assisted by Ms Freda </w:t>
      </w:r>
      <w:r>
        <w:rPr>
          <w:rFonts w:ascii="Times New Roman" w:hAnsi="Times New Roman" w:cs="Times New Roman"/>
          <w:i/>
          <w:iCs/>
          <w:color w:val="000000"/>
        </w:rPr>
        <w:t>Kabatsi</w:t>
      </w:r>
      <w:r>
        <w:rPr>
          <w:rFonts w:ascii="Times New Roman" w:hAnsi="Times New Roman" w:cs="Times New Roman"/>
          <w:color w:val="000000"/>
        </w:rPr>
        <w:t>, state attorney, represented the respondent.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submissions of learned Counsel for the petitioners and of the respondent on these issues are well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summarised by my brother Twinomujuni JA in the lead judgment. I agree with that summary, however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reasons I proceed to give below, my conclusions differ from those of Twinomujuni JA.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regards issue </w:t>
      </w:r>
      <w:r>
        <w:rPr>
          <w:rFonts w:ascii="Times New Roman" w:hAnsi="Times New Roman" w:cs="Times New Roman"/>
          <w:color w:val="000000"/>
        </w:rPr>
        <w:lastRenderedPageBreak/>
        <w:t>number 1, by prescribing minimum numbers for employee associations and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unions, the Trade Unions Act (hereinafter called the Act) does not take away the employees’ right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to associate within the context of the Constitution. Nor does the fixing of minimum percentages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trade unions to be recognised by employers take away those rights and freedoms. The Act merely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seeks to limit and regulate the enjoyment of those rights and freedoms. It also seeks to ensure order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harmony between the employees and their employers at the work place and to minimise on proliferation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employee associations and trade unions to reduce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the risk of possible disruption of work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hardship in the management of industrial relations between employees and their employers. Proliferation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employee associations and trade unions could lead to loss of vital work hours.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alive to the fact that originally employee associations were intended to be interim arrangements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their graduation into trade unions. A close look at the Act, however, reveals that employee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associations are, by law,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 w:rsidR="002F43AB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principally for regulating relations between employers and employees or between themselves. Section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i/>
          <w:iCs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i/>
          <w:iCs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of the Act provides: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‘employees association’ means any combination or association whether temporary or permanent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thirty or more persons in the same type of employment, or in the same trade or industry, whether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agricultural or otherwise, the principal object of which is the regulation of the relations between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employees and their employers or between themselves whether or not it is required to notify its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establishment under section 55.”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Employee associations could therefore, in my opinion, be involved in many of the intricacies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regulating relations between employees and employers or between themselves by virtue of the above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definition.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now arises as to whether this regulation or limitation based on minimum numbers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percentages passes the test provided for in Article 43 of the Constitution which provides: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“43 (1) In the enjoyment of the rights and freedoms prescribed in this chapter, no person shall prejudice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fundamental or other human rights and freedoms of others or the public interest.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Public interest under this Article shall not permit –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 ny limitation of the enjoyment of the rights and freedoms prescribed by this chapter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beyond what is acceptable and demonstrably justifiable in a free and democratic society,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what is provided in this Constitution.”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NTN Pty Ltd and NBN Ltd v The State </w:t>
      </w:r>
      <w:r>
        <w:rPr>
          <w:rFonts w:ascii="Times New Roman" w:hAnsi="Times New Roman" w:cs="Times New Roman"/>
          <w:color w:val="000000"/>
        </w:rPr>
        <w:t>[1988] LRC (Const) at 348 when considering this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test, the court held,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“What is reasonably justifiable in a democratic society is not a concrete or precise concept. It entails different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policy and executive considerations. Traditionally, courts are kept out of this field. This is a new field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intrusion by the Constitution. The court is to be careful in saying what it is. I do not think it is a concept which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 be precisely defined by courts. There is no legal yardstick. What has been decided by courts can only be a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guide as to the nature of this illusive principle. The test, really, is an objective one. The application of the test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must be considered within the context of the subject matter or circumstances of each case.”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Although this case is from a foreign jurisdiction, it is from the Commonwealth and therefore of strong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persuasive value. On this authority, therefore, I find that in all the circumstances of this case, the test in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43 is met.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further reason to note, is the fact that the freedom and right to associate in the Constitution is not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absolute. It is derogable as it is not one of those covered by Article 44 of the Constitution. That Article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“44. Notwithstanding anything in this Constitution, there shall be no derogation from the enjoyment of the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following rights and freedoms: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f reedom from torture, cruel, inhuman or degrading treatment or punishment;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f reedom from slavery or servitude;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 he right to fair hearing;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 he right to an order of habeas corpus.”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view of the foregone, I have no hesitation to find in the negative on this issue.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issue 2, whether section 2(1) of the Act is inconsistent with and contravenes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Constitution, I am of the view that it does not.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2(1) of the Act provides: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“2(1) The National Organisation of Trade Unions established by the Trade Unions Act (Amendment)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Decree, 1973 (published on the 8 December 1973), and functioning immediately before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commencement of this Act, shall be the only principal organisation of employees in Uganda, and all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r</w:t>
      </w:r>
      <w:r>
        <w:rPr>
          <w:rFonts w:ascii="Times New Roman" w:hAnsi="Times New Roman" w:cs="Times New Roman"/>
          <w:color w:val="000000"/>
          <w:sz w:val="20"/>
          <w:szCs w:val="20"/>
        </w:rPr>
        <w:t>egistered trade unions shall affiliate thereto.”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Constitution provides: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“29(1) Every person shall have the right to: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>) f</w:t>
      </w:r>
      <w:r>
        <w:rPr>
          <w:rFonts w:ascii="Times New Roman" w:hAnsi="Times New Roman" w:cs="Times New Roman"/>
          <w:color w:val="000000"/>
          <w:sz w:val="20"/>
          <w:szCs w:val="20"/>
        </w:rPr>
        <w:t>reedom of association which shall include the freedom to form and join associations or unions,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including trade unions and political and other civic organisations.”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Article 40 provides: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“40 (1) Parliament shall enact laws: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Every worker has a right: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 o form or join a trade union of his or her choice for the promotion and protection of his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 her economic and social interests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 o collective bargaining and representation; and</w:t>
      </w:r>
    </w:p>
    <w:p w:rsidR="006D5485" w:rsidRDefault="006D5485" w:rsidP="002F4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Firstly, as we have seen above, the right and freedom to associate is not absolute, it is derogable. So is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to collective bargaining and representation. Secondly, the history of the Trade Union Movement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Uganda which reveals a propensity for unprincipled splinter rival groups to break away from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mainstream labour movement national organisations calls, in my opinion, for the retention of one viable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strong national organisation to prevent a recurrence of instability in the political and labour sectors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this country. Thirdly, the mischief the law meant to address in the labour sector still persists to today.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book “</w:t>
      </w:r>
      <w:r>
        <w:rPr>
          <w:rFonts w:ascii="Times New Roman" w:hAnsi="Times New Roman" w:cs="Times New Roman"/>
          <w:i/>
          <w:iCs/>
          <w:color w:val="000000"/>
        </w:rPr>
        <w:t>Trade Union Law In Uganda</w:t>
      </w:r>
      <w:r>
        <w:rPr>
          <w:rFonts w:ascii="Times New Roman" w:hAnsi="Times New Roman" w:cs="Times New Roman"/>
          <w:color w:val="000000"/>
        </w:rPr>
        <w:t>” Sebastian Angeret, at 41 has this to say on this matter: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Uganda, as in particularly all other countries, trade unions realised the need to form themselves in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umbrella organisations, invariably called federations or congresses of trade unions, in order to enhance their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effectiveness. Thus, the first such organisation in Uganda called the Uganda Trade Unions Congress (UTUC)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formed in 1955. Unfortunately, the UTUC was from the very beginning characterized by internal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wrangles for power which eventually led to the formation of a splinter organisation, the Uganda Federation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Labour (UFL) in 1961. Although the UFL had a brief life, it was replaced as a rival organisation to the UTUC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yet another splinter organisation from UTUC, the Federation of Uganda Trade Unions (FUTU) which was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formed in 1964.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Due to the internal power struggles in these organisations, the rivalry between them, the resultant negative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effects on trade union movement as a whole and the consequent instability in the overall industrial relations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situation in the country, the Government began to show very keen interest in these organisations with a view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introducing some order into them and thereby restore much needed stability to the industrial relations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situation.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was an obvious desired goal of the Government that all the trade unions in the country should be united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one strong central organisation. Initially the Government persued extra-legal measures in an attempt to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achieve this objective. Thus in 1967 the Government sponsored the merger of the rival (UTUC and FUTU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into a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single organisation, the Uganda Labour Congress (ULC). Unhappily however, this merger did not improve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matters in any meaningful way as even the Uganda Labour Congress was also continually harassed by old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rivalries and wrangles which had again reared their heads in the new organisation. The confusion in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Uganda Labour Congress reached such a point that the Government appointed a committee of inquiry which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reported in 1968. By that time, it had become clear that part of the problem was caused by the almost total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absence of any effective legal regulation of these types of organisations. It has been pointed out that under the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 Unions Ordinance 1952, federations or congresses of trade unions were not required to register as trade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unions. This meant that these organisations were therefore not subject to the provisions of the ordinance.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However, under the Trade Unions Act 1965 the Registrar was empowered not only to require organisations of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 unions to notify their existence to the Registrar but also to subject them to any provisions of the Act.”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problems mentioned in this quotation cannot, in my view, be left unattended to by law, to do so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to invite chaos in this important sector.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Fourthly, the state of our pre-industrial economy and the scarcity of resources to facilitate multiple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labour movement organisations call for a stronger measure of state intervention in the guidance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developments in the national labour movement and its role in the national economy in the public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interest. In the absence of sufficient resources to sustain multiple national labour organisation centres,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risk of manipulation, both foreign and local, becomes a strong reality.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Fifthly, the employees’ interests themselves, in my view, would better be served in terms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networking, co-ordination between the national labour movement and the Government and in planning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protection against manipulation, by a single principal national organisation. Similarly, the interests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employers would best be catered for and assured by a singe principal national organisation. Further,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relations between government and the labour movement would best be conducted through coordinating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 single principal national organisation. All this is brought out in the evidence on record and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research carried out in this case.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fortified in this view by the fact that, as we saw earlier in this judgment, when applying the test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by Article 43 of the Constitution, the context and circumstances of the particular case must be taken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account.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Uganda’s case, a single principal national employees organisation is still very relevant, at least for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time being. These circumstances justify the requirement that all trade unions in Uganda affiliate to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Organisation of Trade Unions (NOTU).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absence of a law regulating the trade union movement in this country was, in the past, </w:t>
      </w:r>
      <w:r>
        <w:rPr>
          <w:rFonts w:ascii="Times New Roman" w:hAnsi="Times New Roman" w:cs="Times New Roman"/>
          <w:color w:val="000000"/>
        </w:rPr>
        <w:lastRenderedPageBreak/>
        <w:t>identified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one of the causes of problems in the labour sector and the entire national economy. This mode of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regulation, including the aspect of affiliation to NOTU as a single national employee centre by all trade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unions is still, in my opinion, necessary and justifiable. This is simple derogation permitted by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is not alone in maintaining a one principal national employees organisation. There is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unchallenged affidavit evidence of Margret Nabakooza, a state attorney in the respondent’s chambers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cites many countries including the United Kingdom which maintain a single principal national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employees’ centre. The countries cited are democracies and would pass the test in Article 43(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hesitate to find on this issue, therefore, that the Act is not unconstitutional. I therefore find in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negative on this issue too.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issues 3 and 4, I fully agree with the reasoning and findings of my brother Justice A Twinomujuni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 in the lead judgment. I need not say more. Suffice it to emphasise that section 28 of the trade Union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is neither inconsistent with nor in contravention of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Similarly, I find that section 70 of the Act is not inconsistent with, nor does it contravene,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20 of the Constitution.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result, I have made the following findings on issues 1, 2, 3 and 4.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 1. Sections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),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cc</w:t>
      </w:r>
      <w:r>
        <w:rPr>
          <w:rFonts w:ascii="Times New Roman" w:hAnsi="Times New Roman" w:cs="Times New Roman"/>
          <w:color w:val="000000"/>
          <w:sz w:val="20"/>
          <w:szCs w:val="20"/>
        </w:rPr>
        <w:t>), 6(3) and 17(i)(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 are not inconsistent with nor do they contravene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Articles 29(1)(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 2. Section 2(1) of the Act is not inconsistent nor is it in contravention of Articles 29(i)(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 3. Section 28 of the Act is not inconsistent with nor is it in contravention of Article 29(i)(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and 40(3)(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 4. Section 70 of the Act is not inconsistent nor is it in contravention of Article 20 of the Constitution.</w:t>
      </w:r>
      <w:r w:rsidR="002F43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issue number 5, whether the petitioners should be granted the remedies they prayed for, having found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negative on all the four issues above, I decline to grant any of the remedies sought. The petition</w:t>
      </w:r>
      <w:r w:rsidR="002F43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fails </w:t>
      </w:r>
      <w:r>
        <w:rPr>
          <w:rFonts w:ascii="Times New Roman" w:hAnsi="Times New Roman" w:cs="Times New Roman"/>
          <w:i/>
          <w:iCs/>
          <w:color w:val="000000"/>
        </w:rPr>
        <w:t xml:space="preserve">in toto </w:t>
      </w:r>
      <w:r>
        <w:rPr>
          <w:rFonts w:ascii="Times New Roman" w:hAnsi="Times New Roman" w:cs="Times New Roman"/>
          <w:color w:val="000000"/>
        </w:rPr>
        <w:t>and I, accordingly, dismiss it.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Each party to meet its own costs.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Engwau JA concurred in the judgment of Twinomujuni JA.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Mr Joseph Luswata</w:t>
      </w:r>
    </w:p>
    <w:p w:rsidR="006D5485" w:rsidRDefault="006D5485" w:rsidP="006D5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6D5485" w:rsidP="006D5485">
      <w:r>
        <w:rPr>
          <w:rFonts w:ascii="Times New Roman" w:hAnsi="Times New Roman" w:cs="Times New Roman"/>
          <w:i/>
          <w:iCs/>
          <w:color w:val="000000"/>
        </w:rPr>
        <w:t>Mrs Robinah Rwakojo</w:t>
      </w:r>
      <w:r>
        <w:rPr>
          <w:rFonts w:ascii="Times New Roman" w:hAnsi="Times New Roman" w:cs="Times New Roman"/>
          <w:color w:val="000000"/>
        </w:rPr>
        <w:t>, Principal State Attorney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85"/>
    <w:rsid w:val="00062467"/>
    <w:rsid w:val="002F43AB"/>
    <w:rsid w:val="006D5485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C9BA4-A818-4431-A5BA-D7524B34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11335</Words>
  <Characters>64611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2018-07-04T19:22:00Z</dcterms:created>
  <dcterms:modified xsi:type="dcterms:W3CDTF">2018-07-13T07:32:00Z</dcterms:modified>
</cp:coreProperties>
</file>