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MTN (U) Ltd v Uganda Telecom Ltd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June 2005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13/04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Construction of terms of agreement – Meaning of agreement to be determined from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words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used – Whether interest payable on principal due from date of invoice.</w:t>
      </w:r>
    </w:p>
    <w:p w:rsidR="0090438E" w:rsidRDefault="008360E3" w:rsidP="009043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90438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appellant and the respondent were parties to an interconnection agreement. Each party was entitled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charge the other for interconnection services, rendered through their systems. The appellant filed a suit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respondent seeking to recover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5 772 690 167 as principal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518 455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167 as interest accrued from the date the principal was due. There was no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as to the principal sum and a consent judgment was entered to that effect. With regard to the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interest, the trial judge found in favour of the appellant and awarded a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518 455 167.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appeal to the Court of Appeal, the High Court decision was reversed and a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200 552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609 entered in instead.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now appealed to the Supreme Court. Counsel for the appellant argued that the due date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payment of the principal and interest was the date immediately after the expiry of 45 days following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receipt of the traffic reports by either party. In reply, counsel for the respondent submitted that under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7 of the agreement, liability to pay interest only arose after all the conditions to pay had been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fulfilled and that the agreement was silent as to what was to happen if there was no agreement on the net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within the stipulated 45 days.</w:t>
      </w:r>
      <w:r w:rsidR="0090438E">
        <w:rPr>
          <w:rFonts w:ascii="Times New Roman" w:hAnsi="Times New Roman" w:cs="Times New Roman"/>
          <w:color w:val="000000"/>
        </w:rPr>
        <w:t xml:space="preserve"> </w:t>
      </w:r>
    </w:p>
    <w:p w:rsidR="0090438E" w:rsidRDefault="0090438E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360E3" w:rsidRDefault="008360E3" w:rsidP="009043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pivotal issue before the court was the determination of the date when interest began to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accrue. Determination of this date would resolve the question of quantum of interest, due from the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to the appellant. In order to determine the issue, the court was obliged to construe the contract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it was written. Counsel for the respondent erred in submitting that the agreement was silent on what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to happen in the event of a disagreement between the parties. The agreement provided,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where there was a disagreement on the accuracy of the reports the parties could go to an independent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auditor to determine the dispute.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date in the agreement, which signified total and final agreement on the sum due, was when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party in credit finally sent the other party an invoice. When the invoice was received, that date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became the due date and it was only on that date that the interest on th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 principal began to accrue.</w:t>
      </w:r>
      <w:r w:rsidR="0090438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 with costs to the respondent.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360E3" w:rsidRDefault="008360E3" w:rsidP="00836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66D10" w:rsidRDefault="008360E3" w:rsidP="008360E3">
      <w:proofErr w:type="spellStart"/>
      <w:r>
        <w:rPr>
          <w:rFonts w:ascii="Times New Roman" w:hAnsi="Times New Roman" w:cs="Times New Roman"/>
          <w:i/>
          <w:iCs/>
          <w:color w:val="000000"/>
        </w:rPr>
        <w:t>Stirnlaw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Southern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Foundaries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[1926] Ltd and another </w:t>
      </w:r>
      <w:r>
        <w:rPr>
          <w:rFonts w:ascii="Times New Roman" w:hAnsi="Times New Roman" w:cs="Times New Roman"/>
          <w:color w:val="000000"/>
        </w:rPr>
        <w:t>[1939] All ER 113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E3"/>
    <w:rsid w:val="00366D10"/>
    <w:rsid w:val="008360E3"/>
    <w:rsid w:val="0090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230A4-B866-4E37-A097-18D644F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2018-07-04T19:48:00Z</dcterms:created>
  <dcterms:modified xsi:type="dcterms:W3CDTF">2018-07-13T13:24:00Z</dcterms:modified>
</cp:coreProperties>
</file>