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MTN (U) Ltd v Uganda Telecom Ltd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June 2005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13/04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Construction of terms of agreement – Meaning of agreement to be determined from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words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used – Whether interest payable on principal due from date of invoice.</w:t>
      </w:r>
    </w:p>
    <w:p w:rsidR="000328D4" w:rsidRDefault="00061101" w:rsidP="000611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0328D4" w:rsidRDefault="000328D4" w:rsidP="000611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Kanyeihamba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JSC: </w:t>
      </w:r>
      <w:r>
        <w:rPr>
          <w:rFonts w:ascii="Times New Roman" w:hAnsi="Times New Roman" w:cs="Times New Roman"/>
          <w:color w:val="000000"/>
        </w:rPr>
        <w:t>This is a second appeal from the judgment and orders of the Court of Appeal,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holding that interest owed by the respondent to the appellant on undisputed principal debt was at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518 455 167 as held by the High Court, but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200 552 609 as contended by the respondent.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brief background to this appeal may be stated as follows: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Both the appellant and respondent are parties to an interconnection agreement. Each party is entitled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charge the other for interconnection services rendered through their respective telecommunication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systems. The appellant sued the respondent seeking to recover the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5 772 690 167 as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principal and interest amounting to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518 455 167, which it claimed was the interest that had accrued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date it was due and as a result of failure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respondent to pay the principal sum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5 772 690 167. The difference between the parties is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date when the interest began to accrue. The determination of that date resolves the question of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quantum of interest due from the respondent to the appellant.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the learned Justice of Appeal,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JA, who wrote the lead judgment of the Court of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Appeal, when she observes that the court must construe that contract as it is written. I also agree with her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operative part of the interconnection agreement between the parties is Article 7 of the agreement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provides in clause 7.1.1 that: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“Each party shall send the other a report of the amount due for all traffic completed by its telecommunications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system for termination on or through the other party’s telecommunications system at the end of every calendar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month.”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determination of the amount due shall include: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value of such traffic, broken down by type of traffic and calculated at the individual accounting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rates agreed to between the parties. Each operator should measure the traffic crossing the point of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interconnection based on the number of calls and minutes by tim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0"/>
          <w:szCs w:val="20"/>
        </w:rPr>
        <w:t>e band.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A party receiving the traffic data shall have 15 days in which to reconcile, accept or refuse any of the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traffic. If no complaint is raised within 15 days, then the same shall be deemed accepted by the other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party.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An invoice shall be issued upon acceptance of traffic reconciliation.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Oscar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Kambona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 contended that the due date for the payment of the principal and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was the date immediately after the expiry of forty five days, following the receipt of the traffic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reports by either party. He contended that both the surrounding circumstances of this particular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and business efficacy dictate this construction of the agreement to be the only reasonable one.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cited </w:t>
      </w:r>
      <w:r>
        <w:rPr>
          <w:rFonts w:ascii="Times New Roman" w:hAnsi="Times New Roman" w:cs="Times New Roman"/>
          <w:i/>
          <w:iCs/>
          <w:color w:val="000000"/>
        </w:rPr>
        <w:t>Halsbury’s Laws of England</w:t>
      </w:r>
      <w:r>
        <w:rPr>
          <w:rFonts w:ascii="Times New Roman" w:hAnsi="Times New Roman" w:cs="Times New Roman"/>
          <w:color w:val="000000"/>
        </w:rPr>
        <w:t xml:space="preserve">, the Uganda Communications Act Chapter 106,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Stirnlaw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r w:rsidR="00061101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Southern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Foundaries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[1926] Ltd and another </w:t>
      </w:r>
      <w:r>
        <w:rPr>
          <w:rFonts w:ascii="Times New Roman" w:hAnsi="Times New Roman" w:cs="Times New Roman"/>
          <w:color w:val="000000"/>
        </w:rPr>
        <w:t>[1939] All ER 113 as authorities in support of his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submissions.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the respondent,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Nkurunziza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opposed the appeal and supported the judgment of the Court of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He contended that under Article 7 of the agreement liability, to pay interest arises only after the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conditions to pay have been fulfilled. In his submission, the final condition which gives rise to liability is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 the net amounts between the parties have been agreed and the party claiming the net amount has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issued an invoice for that amount.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Nkurunziza</w:t>
      </w:r>
      <w:r>
        <w:rPr>
          <w:rFonts w:ascii="Times New Roman" w:hAnsi="Times New Roman" w:cs="Times New Roman"/>
          <w:color w:val="000000"/>
        </w:rPr>
        <w:t>’s</w:t>
      </w:r>
      <w:proofErr w:type="spellEnd"/>
      <w:r>
        <w:rPr>
          <w:rFonts w:ascii="Times New Roman" w:hAnsi="Times New Roman" w:cs="Times New Roman"/>
          <w:color w:val="000000"/>
        </w:rPr>
        <w:t xml:space="preserve"> view, the agreement is silent on the situation that could arise if the parties do not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as to what is the net amount within the stipulated forty five days.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 however, the agreement makes provision beyond the forty five day period. For instance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7(1)(3) to 7(3) provides: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“7 (1) (3) Any payments not made by the due date shall bear interest in favour of the party to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whom the payment is due at a rate equal to ten percent (10 percent) per annum, from the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due date until the date of payment.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 (2) If either party discovers an error in the reports, it shall promptly notify the other party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shall make such adjustments in the reports and in the payments as are necessary to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correct the error.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7 (3) If the parties dispute the accuracy of the reports on any related matter concerning the net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payable pursuant to this Article 7, the parties shall jointly select an independent auditor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to review the reports and assist in resolving the dispute. If the parties are unable to agree on the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appointment of an independent auditor, the Commission or its delegate shall appoint an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independent auditor. The cost of such an auditor shall be borne jointly by the parties.”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is quite clear that the agreement anticipates a series of </w:t>
      </w:r>
      <w:r>
        <w:rPr>
          <w:rFonts w:ascii="Times New Roman" w:hAnsi="Times New Roman" w:cs="Times New Roman"/>
          <w:color w:val="000000"/>
        </w:rPr>
        <w:lastRenderedPageBreak/>
        <w:t>events and procedures that are likely to stretch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unspecified periods of time in the future. It envisages disputes on the amounts to be finally paid to a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degree that requires the intervention of an auditor and even of the Commission. The only date which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signifies total and final agreement is when the party in credit finally sends the other party an invoice,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shall signify acceptance by both parties of the traffic reconciliation.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am, therefore, in agreement with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when in her judgment she says: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would be impossible, in my view, for one to remit the net amount invoiced before the due date when no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 has been issued. Issuing of the invoice specifying the amount to be paid is a condition precedent to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remitting the amount.”</w:t>
      </w:r>
      <w:r w:rsidR="0006110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In my view, it is the date when the invoice is received that becomes the due date and it is the same date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when the interest on the principal sum begins to accrue.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result, I would dismiss this appeal with costs to the respondent. The respondent is only liable to pay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the appellant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200 552 609 with interest at court rate from the date of this judgment till payment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full. As I will observe shortly, costs in this matter shall be based solely on the amount of interest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disputed.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resolving the matter of costs, I am constrained to observe that after the parties settled out of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their respective liabilities with regard to the principal sum owed, only one small and simple issue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remained, that is, the date when interest, on the agreed amount, started accruing. I have failed to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understand why counsel for the parties did not confine themselves to what was pertinently relevant to the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issue. In my opinion, the volumes of materials included in the record of proceedings by counsel were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absolutely unnecessary.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order that the subject matter upon which taxation for costs is to be based is the interest sum</w:t>
      </w:r>
      <w:r w:rsidR="0006110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was in dispute before this Court and in the courts below.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JSC.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Oscar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Kambona</w:t>
      </w:r>
      <w:proofErr w:type="spellEnd"/>
    </w:p>
    <w:p w:rsidR="000328D4" w:rsidRDefault="000328D4" w:rsidP="000328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66D10" w:rsidRDefault="000328D4" w:rsidP="000328D4"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Nkurunziza</w:t>
      </w:r>
      <w:proofErr w:type="spellEnd"/>
    </w:p>
    <w:sectPr w:rsidR="0036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8D4"/>
    <w:rsid w:val="000328D4"/>
    <w:rsid w:val="00061101"/>
    <w:rsid w:val="0036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A9B7-4B7C-4D1F-9D8D-5F63B9B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2018-07-04T19:49:00Z</dcterms:created>
  <dcterms:modified xsi:type="dcterms:W3CDTF">2018-07-13T13:25:00Z</dcterms:modified>
</cp:coreProperties>
</file>