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6AB" w:rsidRDefault="00C826AB" w:rsidP="00C8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Mabalanganya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Sanga</w:t>
      </w:r>
    </w:p>
    <w:p w:rsidR="00C826AB" w:rsidRDefault="00C826AB" w:rsidP="00C8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Mbeya</w:t>
      </w:r>
    </w:p>
    <w:p w:rsidR="00C826AB" w:rsidRDefault="00C826AB" w:rsidP="00C8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 June 2004</w:t>
      </w:r>
    </w:p>
    <w:p w:rsidR="00C826AB" w:rsidRDefault="00C826AB" w:rsidP="00C8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1/02</w:t>
      </w:r>
    </w:p>
    <w:p w:rsidR="00C826AB" w:rsidRDefault="00C826AB" w:rsidP="00C8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Msoffe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C826AB" w:rsidRDefault="00C826AB" w:rsidP="00C8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C826AB" w:rsidRDefault="00C826AB" w:rsidP="00C8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Appellate jurisdiction – Power of review – Procedure in exercise of such power – Whether</w:t>
      </w:r>
    </w:p>
    <w:p w:rsidR="00C826AB" w:rsidRDefault="00C826AB" w:rsidP="00C8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High Court has power of review of decisions of primary courts.</w:t>
      </w:r>
    </w:p>
    <w:p w:rsidR="00C826AB" w:rsidRDefault="00EA6779" w:rsidP="00EA67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C826AB" w:rsidRDefault="00C826AB" w:rsidP="00EA677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Ramadhani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</w:t>
      </w:r>
      <w:r>
        <w:rPr>
          <w:rFonts w:ascii="Times New Roman" w:hAnsi="Times New Roman" w:cs="Times New Roman"/>
          <w:color w:val="000000"/>
        </w:rPr>
        <w:t>: This matter started as Primary Court civil case number 15 of 2000. The applicant was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unsuccessful and appealed to the </w:t>
      </w:r>
      <w:proofErr w:type="spellStart"/>
      <w:r>
        <w:rPr>
          <w:rFonts w:ascii="Times New Roman" w:hAnsi="Times New Roman" w:cs="Times New Roman"/>
          <w:color w:val="000000"/>
        </w:rPr>
        <w:t>Songea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Court (Civil appeal number 2 of 2001). That, too, was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barren of results, and, so the applicant went to the High Court at </w:t>
      </w:r>
      <w:proofErr w:type="spellStart"/>
      <w:r>
        <w:rPr>
          <w:rFonts w:ascii="Times New Roman" w:hAnsi="Times New Roman" w:cs="Times New Roman"/>
          <w:color w:val="000000"/>
        </w:rPr>
        <w:t>Songea</w:t>
      </w:r>
      <w:proofErr w:type="spellEnd"/>
      <w:r>
        <w:rPr>
          <w:rFonts w:ascii="Times New Roman" w:hAnsi="Times New Roman" w:cs="Times New Roman"/>
          <w:color w:val="000000"/>
        </w:rPr>
        <w:t xml:space="preserve"> with civil appeal number 10 of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2001, which was summarily rejected by </w:t>
      </w:r>
      <w:proofErr w:type="spellStart"/>
      <w:r>
        <w:rPr>
          <w:rFonts w:ascii="Times New Roman" w:hAnsi="Times New Roman" w:cs="Times New Roman"/>
          <w:color w:val="000000"/>
        </w:rPr>
        <w:t>Manento</w:t>
      </w:r>
      <w:proofErr w:type="spellEnd"/>
      <w:r>
        <w:rPr>
          <w:rFonts w:ascii="Times New Roman" w:hAnsi="Times New Roman" w:cs="Times New Roman"/>
          <w:color w:val="000000"/>
        </w:rPr>
        <w:t xml:space="preserve"> J on 29 September 2001. The applicant went back to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Judge for a review but it was dismissed on 26 July 2002. The applicant has come to this Court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seeking revision.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have found a disturbing practice here in Mbeya of resorting to the powers of revision of this Court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a review of an order of summary rejection of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emanating from the primary court has been dismissed by the High Court. So, at the start of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hearing the application we placed three questions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Justinian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Mushokorwa</w:t>
      </w:r>
      <w:proofErr w:type="spellEnd"/>
      <w:r>
        <w:rPr>
          <w:rFonts w:ascii="Times New Roman" w:hAnsi="Times New Roman" w:cs="Times New Roman"/>
          <w:color w:val="000000"/>
        </w:rPr>
        <w:t>, learned Counsel for the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First, we wondered whether the record before us was complete for revision purposes. Two, we wanted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know why the applicant did not appeal to this Court against the order of summary rejection but instead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preferred a review by the High Court and we asked whether after that had been dismissed it was proper to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come to this Court for revision. Lastly, we asked the learned advocate whether the application for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revision does not circumvent the statutory requirement of a certificate of the High Court that there is a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 of law to be considered by this Court in respect of a matter emanating from a primary court.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Mushokorwa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conceded that the record before the court contains only the notice of motion, his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affidavit and the ruling of </w:t>
      </w:r>
      <w:proofErr w:type="spellStart"/>
      <w:r>
        <w:rPr>
          <w:rFonts w:ascii="Times New Roman" w:hAnsi="Times New Roman" w:cs="Times New Roman"/>
          <w:color w:val="000000"/>
        </w:rPr>
        <w:t>Manento</w:t>
      </w:r>
      <w:proofErr w:type="spellEnd"/>
      <w:r>
        <w:rPr>
          <w:rFonts w:ascii="Times New Roman" w:hAnsi="Times New Roman" w:cs="Times New Roman"/>
          <w:color w:val="000000"/>
        </w:rPr>
        <w:t xml:space="preserve"> J, dismissing the application for review. However, he pointed out that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is no rule providing for what a record for revision should contain. He said that the existing rules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deal with appeals and applications. However, he asked for time to bring the record of proceedings of the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lower courts.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EO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Mbogoro</w:t>
      </w:r>
      <w:proofErr w:type="spellEnd"/>
      <w:r>
        <w:rPr>
          <w:rFonts w:ascii="Times New Roman" w:hAnsi="Times New Roman" w:cs="Times New Roman"/>
          <w:color w:val="000000"/>
        </w:rPr>
        <w:t>, learned Counsel for the respondent, objected to granting leave to rectify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records.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may as well deal with this matter first. Admittedly, the Tanzania Court of Appeal Rules of 1979,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silent as to revision. But what does revision entail? Before we come to that and for the avoidance of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doubt, we had better say that section 4 of the Appellate Jurisdiction Act of 1979, (hereinafter referred to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simply as the AJA of 1979) confers upon this Court powers of revision. The court can exercise those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powers in one of two ways: one, under section 4(2) the court can revise proceedings in the course of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an appeal and two, under section 4(3) the court may on its own motion call for and examine the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 of any proceedings before the High Court. Through case law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Halais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Pro-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Chemie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AG</w:t>
      </w:r>
      <w:r w:rsidR="00EA677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[1996] TLR 269] this Court has extended subsection (3) to cover instances where the court is moved to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its jurisdiction of revision.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Here the applicant is moving the court to exercise its powers of revision. So subsection (3) applies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provides as follows: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(3) Without prejudice to subsection (2), the court shall have the power, authority and jurisdiction to call</w:t>
      </w:r>
      <w:r w:rsidR="00EA67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and examine the record of any proceedings before the High Court for the purpose of satisfying</w:t>
      </w:r>
      <w:r w:rsidR="00EA67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itself as to the correctness, legality or propriety of any finding, order or any other decision made</w:t>
      </w:r>
      <w:r w:rsidR="00EA67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thereon and as to the regularity of any proceedings of the High Court.</w:t>
      </w:r>
      <w:r w:rsidR="00EA67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So, to answer the question we had posed earlier, revision entails examination by this Court the record of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proceedings before the High Court for the purpose of satisfying itself as to the correctness, legality or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propriety of any finding, order or any other decision and the regularity of any proceedings before the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So, the record of proceedings of the High Court, and in the case of appellate jurisdiction of the High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then the record of proceedings of the lower court or courts, must be before this Court. This is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glaringly certain from the very definition of what revision entails and if the court is to perform that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function, this does not depend on the existence of any rules to that effect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The rules, if any, will just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 the obvious.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Now, when the court acts on its own motion it will have to call for those records itself. But when the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is moved, as in this case, then the one who moves it will have to supply those records.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EA677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Mushokorwa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dutifully conceded that the records are missing in this case and we agree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Mbogoro</w:t>
      </w:r>
      <w:proofErr w:type="spellEnd"/>
      <w:r w:rsidR="00EA677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we cannot </w:t>
      </w:r>
      <w:r>
        <w:rPr>
          <w:rFonts w:ascii="Times New Roman" w:hAnsi="Times New Roman" w:cs="Times New Roman"/>
          <w:color w:val="000000"/>
        </w:rPr>
        <w:lastRenderedPageBreak/>
        <w:t xml:space="preserve">at this stage give time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Mushokorwa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do what he should have done years ago.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 enough to dispose of the application but we are of the decided opinion that we better deal with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other issues in order to prevent the abuse of the process of the court and as a directive to learned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advocates.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to our second question, why the applicant preferred review by the High Court instead of appealing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this Court against the summary rejection of appeal,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Mushokorwa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simply said that both avenues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open to the applicant and that he chose the former and not the latter. However, when further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quizzed,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Mushokorwa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conceded that appeals from the primary courts are dealt with under the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Magistrates’ Courts Act of 1984, (hereinafter referred to simply as the MCA of 1984) and that there are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provisions for review under that Act, but they chose review under the provisions of the Civil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Code Act of 1966, (hereinafter referred to simply as the CPA of 1966) to suit their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convenience.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Mbogoro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proper avenue for the applicant was to appeal to this Court against the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summary rejection of the appeal. He went further to say that even if there were no reasons given by the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Judge for summarily rejecting the appeal, then that omission to give reasons should have been the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of appeal.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28 of the MCA of 1984, provides for power of the High Court to reject appeals summarily.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Subsections (1) and (2) deal with criminal appeals and three conditions are imposed before summary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rejection can be resorted to. Subsection (3) provides as follows: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(3)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judge may, if satisfied that an appeal in any other proceeding is without substance, summarily reject</w:t>
      </w:r>
      <w:r w:rsidR="00EA67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appeal.</w:t>
      </w:r>
      <w:r w:rsidR="00EA67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subsection deals with appeals other than criminal appeals, and so, includes civil appeals. Unlike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appeals, no conditions have been imposed for the exercise of the powers under this subsection.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we are of the firm view that it is imperative, in both criminal and civil appeals, for a judge to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give reasons for rejecting an appeal summarily. This Court has said so in no uncertain terms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Idd</w:t>
      </w:r>
      <w:proofErr w:type="spellEnd"/>
      <w:r w:rsidR="00EA6779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Kondo v R </w:t>
      </w:r>
      <w:r>
        <w:rPr>
          <w:rFonts w:ascii="Times New Roman" w:hAnsi="Times New Roman" w:cs="Times New Roman"/>
          <w:color w:val="000000"/>
        </w:rPr>
        <w:t>criminal appeal number 46 of 1998 (UR). But even if no reasons have been assigned, then that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is a ground of appeal, as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Mbogoro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Now, when an appeal is summarily rejected, what is the remedy available to the appellant? The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here used review by the High Court. In our opinion review is not a remedy for the aggrieved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party. There is no provision for review in the MCA of 1984. Part III (C) of the MCA of 1984 deals with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“Appellate and </w:t>
      </w:r>
      <w:proofErr w:type="spellStart"/>
      <w:r>
        <w:rPr>
          <w:rFonts w:ascii="Times New Roman" w:hAnsi="Times New Roman" w:cs="Times New Roman"/>
          <w:color w:val="000000"/>
        </w:rPr>
        <w:t>Revisional</w:t>
      </w:r>
      <w:proofErr w:type="spellEnd"/>
      <w:r>
        <w:rPr>
          <w:rFonts w:ascii="Times New Roman" w:hAnsi="Times New Roman" w:cs="Times New Roman"/>
          <w:color w:val="000000"/>
        </w:rPr>
        <w:t xml:space="preserve"> Jurisdiction of the High Court in Relation to Matters Originating in Primary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Courts”. There is no mention of review. The decision of the High Court in a matter emanating from a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primary court under Part III(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is subject to appeal to this Court under section 5(2)(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AJA of 1979.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decision does not go back to the High Court for a review.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Admittedly, the High Court has the power of review under section 78 of the CPA of 1966, but the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CPA of 1966, does not apply to primary courts. That is very clear from the provisions of section 2 of the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CPA of 1966, that: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ubject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express provisions of any written law, the provisions of this code shall apply to all</w:t>
      </w:r>
      <w:r w:rsidR="00EA67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proceedings in the High Court of the United Republic, courts of resident magistrates and the district</w:t>
      </w:r>
      <w:r w:rsidR="00EA67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courts.</w:t>
      </w:r>
      <w:r w:rsidR="00EA67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Thus, primary courts are not mentioned in this section defining the scope of application of the CPA of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1966.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Moreover, section 3 of the CPA of 1966, defines “court” to mean those three courts mentioned in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2. Thus, the law which provides the High Court with the power of review does not apply to the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primary courts and, therefore, the High Court does not have power of review on matters emanating from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primary courts. So, the application of the applicant for review, by the High Court in this case was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misconceived. The High Court had no jurisdiction of review and in the purported exercise of review it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affect in any way the summary rejection of appeal, there is nothing for this Court to revise. The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ought to be struck out.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Lastly, we come to the issue of the requirement of a certificate on point of law to be dealt with by this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As already said, this Court is empowered to hear appeals on matters emanating from primary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by section 5(2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of the AJA of 1979. That paragraph requires such appeal to have a certificate of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that there is a point of law that has to be considered by this Court. Now, an application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seeking this Court to revise a decision of the High Court on a matter emanating from a primary court is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accompanied by a certificate that contravenes the AJA of 1979. Therefore, this Court cannot entertain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an application for revision. This Court can only deal with an appeal on certificate of point of law.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application is misconceived and must be struck out.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reasons given above, the application is struck out with costs under rule 3(2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 for preventing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abuse of the process of the court. It is so ordered.</w:t>
      </w:r>
      <w:r w:rsidR="00EA677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applicant:</w:t>
      </w:r>
    </w:p>
    <w:p w:rsidR="00C826AB" w:rsidRDefault="00C826AB" w:rsidP="00C8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Justinian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Mushokorwa</w:t>
      </w:r>
      <w:proofErr w:type="spellEnd"/>
    </w:p>
    <w:p w:rsidR="00C826AB" w:rsidRDefault="00C826AB" w:rsidP="00C826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80578A" w:rsidRDefault="00C826AB" w:rsidP="00C826AB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Mbogoro</w:t>
      </w:r>
      <w:proofErr w:type="spellEnd"/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AB"/>
    <w:rsid w:val="0080578A"/>
    <w:rsid w:val="00C826AB"/>
    <w:rsid w:val="00EA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07832-E6DF-4539-881C-3C4E18F6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2018-07-04T19:23:00Z</dcterms:created>
  <dcterms:modified xsi:type="dcterms:W3CDTF">2018-07-13T07:38:00Z</dcterms:modified>
</cp:coreProperties>
</file>