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Mabonga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May 1974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133/1973 (62/74)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 and Mustafa JA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Nyamuchoncho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Murder – Provocation – Failure of judge to consider – Effect of.</w:t>
      </w:r>
    </w:p>
    <w:p w:rsidR="005911C4" w:rsidRDefault="00B44811" w:rsidP="00B448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911C4" w:rsidRDefault="005911C4" w:rsidP="00B448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judgment of the court was read by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Wambuzi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>The appellant was convicted of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murder contrary to s. 183 of the Penal Code and was sentenced to death.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that the deceased died as a result of a spear wound, a fact which was not disputed at the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against the appellant which was accepted by the trial judge consists firstly of a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by the deceased naming the appellant to a number of people as his assailant and secondly a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 the appellant made to a magistrate, in which the appellant admitted the killing.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rejected the evidence of the only person who claimed to have been an eye-witness to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assault. He accepted the prosecution evidence to the effect that the deceased correctly identified his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assailant as the incident took place at 2.00 p.m. in broad daylight and the appellant was well-known to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deceased. It appears they were brothers.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complaints raised in his rather lengthy memorandum of appeal against his conviction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may be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as follows: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court erred in sentencing him to death as there was no evidence that he was 18 years old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above.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trial court erred in rejecting the appellant’s contention that he was attacked by the deceased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because: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there was evidence that there was a cow at the scene, the contention of the appellant being that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deceased had gone to his home and untied the appellant’s cows;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(ii) there were two spears at the scene; and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injury on the deceased was on the front part of the deceased’s body and not at the back.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 of the first witness at the scene, it would appear that on the day in question the appellant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seen by this witness at about 11.00 a.m. driving some cows including the cow which was found at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scene when the witness went to investigate the cry made by the deceased at about 2.00 p.m. that day.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statement, which the trial judge accepted, the appellant said: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“Until 2.30 p.m. when he attacked me again at my home while having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his hand. He then went to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cattle. United two of them. My father and I got these cows from sale of our land. He asked me saying: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‘why did you and your father sell the land and yet I have a wife whom I have not paid dowry for?’ I tried to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raise an alarm but when my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answered it, found I had already killed him. . . .”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judge considered this point and said in his judgment: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accused in his statement suggested two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killing his brother, namely,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self-defence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property and although the accused abandoned these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his unsworn statement, I will deal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each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very briefly. In that statement the accused said that on the day he killed the deceased, the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deceased attacked him with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There is no evidence on record to show that the deceased attacked the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accused with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– there is no evidence to show that the accused acted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self-defence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when he killed the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deceased. On the contrary the evidence on record shows that the deceased was on his way home when he was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attacked by the accused, the attack and assault took place on a foot-path several yards away from the house of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accused and near the house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Namusano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Had there been a fight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Namusano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would have been able to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 it.”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we think that the statement accepted by the trial judge gave the appellant yet another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not considered by the judge which was provocation. The evidence shows that the deceased was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speared on a path near the appellant’s house. The statement of the appellant shows a history of quarrels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deceased and the appellant. Indeed it alleges a quarrel took place on the fateful day. We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that the judge did not believe that the deceased untied the cattle in the home of the appellant. We,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find it difficult to reconcile this conclusion with the evidence of the prosecution which was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by the judge which indicates that the appellant was in possession of the cow found at the scene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earlier that same day. The question as to how the cow happened to be at the scene appears not to have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considered by the judge. Further the evidence shows that there were two spears at the scene. In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these the judge said: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“Having accepted the statement I find it unnecessary to make a finding as to who is the owner of the spears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were used to kill the deceased. . . .”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 one of the spears was in the body of the deceased and the other in the ground. There is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indication of how this second spear came to be in the ground. In these circumstances we think, with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that it is a wrong assumption to say that both spears were used to kill the deceased. Merely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because the appellant claimed he had been attacked by the deceased with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does not mean that both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spears were used by the appellant because he admitted the killing. Apart from the appellant’s statement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of what actually happened. We think that the presence of the cow at the scene does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lend support to the appellant’s claim that the deceased did go to the appellant’s home and may well have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united some cows there. There could have been a quarrel between the deceased and the appellant. It is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that the deceased left and was on his way home when he was attacked by the appellant who must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followed him presumably resisting the taking of the cow by the deceased. There is no evidence of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this attack was mounted but from the nature of the injury sustained by the deceased which was on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front part of his body, as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indicated by the medical evidence, there must have been a direct confrontation between the two. The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 question is in what circumstances did the spearing take place? On the evidence we are unable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say that the deceased could not have been in possession of the second spear. In the absence of any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who possessed both spears at the material time, we are unable to say that merely because the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said he was attacked with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both spears must have been his.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judge did consider the issue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property but he should have gone further and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provocation. We would in this respect refer to our judgment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Robi</w:t>
      </w:r>
      <w:proofErr w:type="spellEnd"/>
      <w:r w:rsidR="00B4481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v. R</w:t>
      </w:r>
      <w:r>
        <w:rPr>
          <w:rFonts w:ascii="Times New Roman" w:hAnsi="Times New Roman" w:cs="Times New Roman"/>
          <w:color w:val="000000"/>
        </w:rPr>
        <w:t>., [1959] E.A. 660 at p. 663 and in particular we would refer to the following extract: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appellant was no doubt entitled to use reasonable force to prevent the taking of the cattle, and if, in good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faith, he had used more force than was reasonable and had thereby killed the appellant, no doubt the offence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would only have amounted to manslaughter. The force actually used, however, was a thrust with a spear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 the chest which was clearly calculated to kill. We can see no distinction between such use of a lethal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weapon like a spear, and the use of a firearm. The weapon and its method of use leave no doubt that the intent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to kill, and not merely to prevent the removal of cattle. There can be no justification in law for deliberate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homicide in these circumstances, and we have no doubt that, subject to the question of provocation, the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offence is murder.”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further–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“As regards the question of provocation, Mr. Malik submitted that the deceased’s acts amounted to sufficient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provocation to reduce the killing to manslaughter. Counsel for the Crown drew our attention to the case of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Yusufu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Lesso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R</w:t>
      </w:r>
      <w:r>
        <w:rPr>
          <w:rFonts w:ascii="Times New Roman" w:hAnsi="Times New Roman" w:cs="Times New Roman"/>
          <w:color w:val="000000"/>
          <w:sz w:val="20"/>
          <w:szCs w:val="20"/>
        </w:rPr>
        <w:t>. (1952), 19 E.A.C.A. 249, in which it was held that the definition of provocation in the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Tanganyika Penal Code (which is similar to the Kenya Penal Code) is: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‘confined to wrongful acts done to the person and does not extend to wrongful acts done to property.’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decision, which differed from an earlier decision of this court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Murume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s/o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Nayboba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(1945), 12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E.A.C.A. 80, must no doubt be considered in relation to the facts of that case, and we should not be prepared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accept the proposition that no acts of trespass to property could ever amount to ‘a wrongful act or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insult . . . done to . . . a person’, cf. the passage from Roscoe’s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Criminal Evidence</w:t>
      </w:r>
      <w:r>
        <w:rPr>
          <w:rFonts w:ascii="Times New Roman" w:hAnsi="Times New Roman" w:cs="Times New Roman"/>
          <w:color w:val="000000"/>
          <w:sz w:val="20"/>
          <w:szCs w:val="20"/>
        </w:rPr>
        <w:t>, p. 782 which is cited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above. We think that each case must be judged on its own facts.”</w:t>
      </w:r>
      <w:r w:rsidR="00B4481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there was evidence in the statement of the appellant that the deceased had come armed with a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and had attacked him and seized the cow. The judge should have considered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provocation and sought the opinion of his assessors as to whether this forcible seizure of the cow was in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particular circumstances of this case provocation sufficient to have reduced the offence from murder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manslaughter. His failure to direct himself or the assessors to this issue was a serious misdirection. In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circumstances, we think it will be unsafe to allow the conviction for murder to stand, as on the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provocation cannot be ruled out. We accordingly quash the conviction for murder and set aside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 of death. We substitute therefore a conviction for manslaughter and a sentence of ten years’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imprisonment.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age of the appellant, we accepted the medical certificate tendered by the respondent at</w:t>
      </w:r>
      <w:r w:rsidR="00B4481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the appeal to the effect that the appellant is aged 26 years.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appeared in person.</w:t>
      </w:r>
    </w:p>
    <w:p w:rsidR="005911C4" w:rsidRDefault="005911C4" w:rsidP="00591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B48C8" w:rsidRDefault="005911C4" w:rsidP="005911C4">
      <w:r>
        <w:rPr>
          <w:rFonts w:ascii="Times New Roman" w:hAnsi="Times New Roman" w:cs="Times New Roman"/>
          <w:i/>
          <w:iCs/>
          <w:color w:val="000000"/>
        </w:rPr>
        <w:t xml:space="preserve">JH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Omondi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(State Attorney)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1C4"/>
    <w:rsid w:val="005911C4"/>
    <w:rsid w:val="006B48C8"/>
    <w:rsid w:val="00B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CC2E3-FB71-4696-8D20-5A55453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2018-07-05T13:44:00Z</dcterms:created>
  <dcterms:modified xsi:type="dcterms:W3CDTF">2018-07-13T07:39:00Z</dcterms:modified>
</cp:coreProperties>
</file>