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Macharia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Wanjohi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21 May 2004</w:t>
      </w:r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197/99</w:t>
      </w:r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JA,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AJJA</w:t>
      </w:r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Arbitration – Succession dispute – Application for revocation of grant – Referred to District Officer</w:t>
      </w:r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to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determine which parties entitled to benefit from estate – Time for filing award extended – Whether</w:t>
      </w:r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award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filed outside time – Whether arbitration irregular for failure to take down evidence of appellant.</w:t>
      </w:r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Succession – Revocation of grant – Reference by consent to arbitration before District Officer to</w:t>
      </w:r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determine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proper beneficiaries of deceased – Award of arbitrator subsequently read in court – Whether</w:t>
      </w:r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court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wrongly abdicated its jurisdiction by referring matter to arbitration.</w:t>
      </w:r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deceased was prior to his death the registered owner of a certain parcel of land. Shortly after his</w:t>
      </w:r>
    </w:p>
    <w:p w:rsidR="00B8542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death</w:t>
      </w:r>
      <w:proofErr w:type="gramEnd"/>
      <w:r>
        <w:rPr>
          <w:rFonts w:ascii="Times New Roman" w:hAnsi="Times New Roman" w:cs="Times New Roman"/>
          <w:color w:val="000000"/>
        </w:rPr>
        <w:t>, his nephew applied for grant of letters of administration to himself. Subsequently, the grant was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confirmed after which the nephew was registered as the owner of the said parcel of land. Two persons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thereafter applied for revocation of the grant on the ground that the nephew had made false statements in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application. The parties eventually agreed to refer the matter to arbitration by the District Officer. The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District Officer subsequently made a finding that two persons were the proper beneficiaries of the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deceased. The arbitration award was read and recorded by the superior court.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nephew then appealed against that decision to the Court of Appeal. He argued </w:t>
      </w:r>
    </w:p>
    <w:p w:rsidR="00B8542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proofErr w:type="gramStart"/>
      <w:r>
        <w:rPr>
          <w:rFonts w:ascii="Times New Roman" w:hAnsi="Times New Roman" w:cs="Times New Roman"/>
          <w:color w:val="000000"/>
        </w:rPr>
        <w:t>that</w:t>
      </w:r>
      <w:proofErr w:type="gramEnd"/>
      <w:r>
        <w:rPr>
          <w:rFonts w:ascii="Times New Roman" w:hAnsi="Times New Roman" w:cs="Times New Roman"/>
          <w:color w:val="000000"/>
        </w:rPr>
        <w:t xml:space="preserve"> the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reference to arbitration was invalid because it was made prior to a revocation of the former grant, </w:t>
      </w:r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(2) that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filing of the award was irregular as the time for filing the award had not been extended, (3) that the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to arbitration was an abdication of statutory responsibility by the court and was a nullity, and</w:t>
      </w:r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proofErr w:type="gramStart"/>
      <w:r>
        <w:rPr>
          <w:rFonts w:ascii="Times New Roman" w:hAnsi="Times New Roman" w:cs="Times New Roman"/>
          <w:color w:val="000000"/>
        </w:rPr>
        <w:t>that</w:t>
      </w:r>
      <w:proofErr w:type="gramEnd"/>
      <w:r>
        <w:rPr>
          <w:rFonts w:ascii="Times New Roman" w:hAnsi="Times New Roman" w:cs="Times New Roman"/>
          <w:color w:val="000000"/>
        </w:rPr>
        <w:t xml:space="preserve"> the refusal of the court to set aside the arbitration award was due to a mistaken interpretation of</w:t>
      </w:r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statute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437115" w:rsidRDefault="00437115" w:rsidP="00B85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parties were entitled to refer the question of entitlement to the estate of the deceased to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arbitration. There was no requirement for the court to first revoke the original grant prior to the reference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arbitration. The arbitration award would not become an order of the court until the court entered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upon it. In this case, the arbitration award would become the schedule to the grant on how the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assets of the deceased ought to be distributed, and would not result in two conflicting decisions on the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record.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Failure to file an award within the stated period in the absence of an agreement or order to extend it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renders the award a nullity. However, the facts of this case showed that the parties had attended at the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registry on various occasions and consented to various extensions of time for the reading of the award.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 also consented to the reading of the award in court, after the award was filed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Nyangau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B85425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Nyakwara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[1984] LLR 201 (CAK) distinguished).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There was no evidence to show that the Appellant had been denied an opportunity to give evidence at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arbitration. In fact, the Appellant’s witnesses had been heard.</w:t>
      </w:r>
      <w:r w:rsidR="00B854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Arbitration award upheld and appeal dismissed with costs.</w:t>
      </w:r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437115" w:rsidRDefault="00437115" w:rsidP="0043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Munyua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Wanjiku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[1987] LLR 1472 (CAK)</w:t>
      </w:r>
    </w:p>
    <w:p w:rsidR="0021070D" w:rsidRDefault="00437115" w:rsidP="00437115">
      <w:proofErr w:type="spellStart"/>
      <w:r>
        <w:rPr>
          <w:rFonts w:ascii="Times New Roman" w:hAnsi="Times New Roman" w:cs="Times New Roman"/>
          <w:i/>
          <w:iCs/>
          <w:color w:val="000000"/>
        </w:rPr>
        <w:t>Nyangau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Nyakwara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[1984] LLR 201 (CAK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15"/>
    <w:rsid w:val="0021070D"/>
    <w:rsid w:val="00437115"/>
    <w:rsid w:val="00B8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FE7DF-72B5-4345-A8AD-7D12EBC9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2018-07-04T14:13:00Z</dcterms:created>
  <dcterms:modified xsi:type="dcterms:W3CDTF">2018-07-13T07:49:00Z</dcterms:modified>
</cp:coreProperties>
</file>