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64E" w:rsidRDefault="0024764E" w:rsidP="00247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Magana Holdings Ltd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Mungai</w:t>
      </w:r>
      <w:proofErr w:type="spellEnd"/>
    </w:p>
    <w:p w:rsidR="0024764E" w:rsidRDefault="0024764E" w:rsidP="00247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24764E" w:rsidRDefault="0024764E" w:rsidP="00247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 December 1999</w:t>
      </w:r>
    </w:p>
    <w:p w:rsidR="0024764E" w:rsidRDefault="0024764E" w:rsidP="00247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143/96</w:t>
      </w:r>
    </w:p>
    <w:p w:rsidR="0024764E" w:rsidRDefault="0024764E" w:rsidP="00247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 and Shah JJA</w:t>
      </w:r>
    </w:p>
    <w:p w:rsidR="0024764E" w:rsidRDefault="0024764E" w:rsidP="00247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4764E" w:rsidRDefault="0024764E" w:rsidP="00247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24764E" w:rsidRDefault="0024764E" w:rsidP="00247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and procedure – Court of Appeal – Record of appeal – Contents – Orders – Form of the</w:t>
      </w:r>
    </w:p>
    <w:p w:rsidR="0024764E" w:rsidRDefault="0024764E" w:rsidP="00247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orders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an order should be drawn up in the same manner as a decree – Consequences of the</w:t>
      </w:r>
    </w:p>
    <w:p w:rsidR="0024764E" w:rsidRDefault="0024764E" w:rsidP="00247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record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of appeal containing an order not drawn up in the same manner as a decree – Court of Appeal</w:t>
      </w:r>
    </w:p>
    <w:p w:rsidR="0024764E" w:rsidRDefault="0024764E" w:rsidP="00247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Rules – Rule 851(</w:t>
      </w:r>
      <w:r>
        <w:rPr>
          <w:rFonts w:ascii="Times New Roman" w:hAnsi="Times New Roman" w:cs="Times New Roman"/>
          <w:color w:val="000000"/>
        </w:rPr>
        <w:t>h</w:t>
      </w:r>
      <w:r>
        <w:rPr>
          <w:rFonts w:ascii="Times New Roman" w:hAnsi="Times New Roman" w:cs="Times New Roman"/>
          <w:i/>
          <w:iCs/>
          <w:color w:val="000000"/>
        </w:rPr>
        <w:t>) and Order XX, Rule 7(1) and (6) of the Civil Procedure Rules – Section 89 – Civil</w:t>
      </w:r>
    </w:p>
    <w:p w:rsidR="0024764E" w:rsidRDefault="0024764E" w:rsidP="00247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Procedure Act (Chapter 21).</w:t>
      </w:r>
    </w:p>
    <w:p w:rsidR="0024764E" w:rsidRDefault="003570B4" w:rsidP="003570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24764E" w:rsidRDefault="0024764E" w:rsidP="003570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GICHERU, OMOLO AND SHAH JJA: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Ochieng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appears for the Respondent in the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has moved this Court by way of a notice of motion in the appeal for orders to the effect that the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itself be struck out with costs. He also sought orders to the effect that his client be at liberty to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 for further orders and/or directions as this Court may deem fit and just to grant.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grounds upon which he seeks the striking out of the appeal are as follows: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order against which this appeal has been preferred is fatally defective in so far as it does not comply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the requirement of Order XX rules 6(1) and 7(6) of the Civil Procedure Rules. It does not set out the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relief sought in the application, which was the subject matter of the ruling appealed from which renders the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incurably defective.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order granting leave to appeal is totally defective in so far as it does not comply with the requirement of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Order XX rules 6(1) and 7(6) of the Civil Procedure Rules.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essential step has not been taken as is required by the Rules”.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sub-stratum of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Oduol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argument is that an order appealed against must follow the same format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is used in the drawing of a decree of the superior court, that is to say, that it must first set out the claim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then the body of the order must set out what is normally set out in a decree. He says that the formal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appealed against is a primary document and therefore must comply fully with the Civil Procedure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 and Civil Procedure Rules.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decree is defined in section 2 of the Civil Procedure Act as follows: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 ‘decree’ means the formal expression of an adjudication which, so far as regards the court expressing it,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conclusively determines the rights of the parties with regard to all or any of the matters in controversy in the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suit and may be either preliminary or final; it includes the striking out of a plaint and the determination of any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question within section 34 or section 91 of this Act, but does not include: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adjudication from which an appeal lies as an appeal from an order; (underlining supplied) or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order of dismissal for default”.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same section defines “order” as follows: </w:t>
      </w:r>
      <w:proofErr w:type="gramStart"/>
      <w:r>
        <w:rPr>
          <w:rFonts w:ascii="Times New Roman" w:hAnsi="Times New Roman" w:cs="Times New Roman"/>
          <w:color w:val="000000"/>
        </w:rPr>
        <w:t>“ ‘Order’</w:t>
      </w:r>
      <w:proofErr w:type="gramEnd"/>
      <w:r>
        <w:rPr>
          <w:rFonts w:ascii="Times New Roman" w:hAnsi="Times New Roman" w:cs="Times New Roman"/>
          <w:color w:val="000000"/>
        </w:rPr>
        <w:t xml:space="preserve"> means the formal expression of any decision of a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</w:t>
      </w:r>
      <w:r>
        <w:rPr>
          <w:rFonts w:ascii="Times New Roman" w:hAnsi="Times New Roman" w:cs="Times New Roman"/>
          <w:i/>
          <w:iCs/>
          <w:color w:val="000000"/>
        </w:rPr>
        <w:t xml:space="preserve">which is not a decree </w:t>
      </w:r>
      <w:r>
        <w:rPr>
          <w:rFonts w:ascii="Times New Roman" w:hAnsi="Times New Roman" w:cs="Times New Roman"/>
          <w:color w:val="000000"/>
        </w:rPr>
        <w:t xml:space="preserve">and include rule </w:t>
      </w:r>
      <w:r>
        <w:rPr>
          <w:rFonts w:ascii="Times New Roman" w:hAnsi="Times New Roman" w:cs="Times New Roman"/>
          <w:i/>
          <w:iCs/>
          <w:color w:val="000000"/>
        </w:rPr>
        <w:t>nisi</w:t>
      </w:r>
      <w:r>
        <w:rPr>
          <w:rFonts w:ascii="Times New Roman" w:hAnsi="Times New Roman" w:cs="Times New Roman"/>
          <w:color w:val="000000"/>
        </w:rPr>
        <w:t>”.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clear that section 2 of the Civil Procedure Act defines a “decree” and an “order” separately and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“decree” does not include “any adjudication from which an appeal lies as an appeal from an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“order”.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order against which this appeal has been lodged was made on 13 February 1996 by the superior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(</w:t>
      </w:r>
      <w:proofErr w:type="spellStart"/>
      <w:r>
        <w:rPr>
          <w:rFonts w:ascii="Times New Roman" w:hAnsi="Times New Roman" w:cs="Times New Roman"/>
          <w:color w:val="000000"/>
        </w:rPr>
        <w:t>Hayanga</w:t>
      </w:r>
      <w:proofErr w:type="spellEnd"/>
      <w:r>
        <w:rPr>
          <w:rFonts w:ascii="Times New Roman" w:hAnsi="Times New Roman" w:cs="Times New Roman"/>
          <w:color w:val="000000"/>
        </w:rPr>
        <w:t xml:space="preserve"> J). It is common ground that the Appellant’s advocates drew the order in question, as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well as the order giving leave to appeal and sent the same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Ochieng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approval. He did not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 to the request and the registry of the superior court approved and sealed the same upon request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Appellant’s advocates in terms of Order XX, Rule 7(2) of the Civil Procedure Rules as read with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sub-rule (6) thereof.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Ochieng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now be heard to say that the order as drawn does not comply with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procedural requirements.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 in so far as this Court is concerned the requirement in rule 85(1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>h) does not call for drawing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an order in the manner a decree is drawn.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Ochieng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Oduol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drew our attention to what was stated by this Court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Shah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v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Aperit</w:t>
      </w:r>
      <w:proofErr w:type="spellEnd"/>
      <w:r w:rsidR="003570B4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Investment SA </w:t>
      </w:r>
      <w:r>
        <w:rPr>
          <w:rFonts w:ascii="Times New Roman" w:hAnsi="Times New Roman" w:cs="Times New Roman"/>
          <w:color w:val="000000"/>
        </w:rPr>
        <w:t xml:space="preserve">[1999] LLR 1014 (CAK). The Court said,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“Another defect of similar effect is that the Order does not as required by Order 20 rules 6(1) and 7(6) of the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Civil Procedure Rules, to be prepared in a like manner as a decree, set out as it should, the particulars of the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claim or the relief sought in the application which was the subject matter of the Ruling. We will no longer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condone this kind of infringement of the provisions of the Civil Procedure Rules where a primary document is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involved”.</w:t>
      </w:r>
      <w:r w:rsidR="003570B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do not know whether the attention of the Court was drawn to the fact that there are forms prescribed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Civil Procedure Rules. The format of a decree is separate from the format of an interlocutory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order. The definitions of “decree” and “order” in the Civil Procedure </w:t>
      </w:r>
      <w:r>
        <w:rPr>
          <w:rFonts w:ascii="Times New Roman" w:hAnsi="Times New Roman" w:cs="Times New Roman"/>
          <w:color w:val="000000"/>
        </w:rPr>
        <w:lastRenderedPageBreak/>
        <w:t>Act are different. We need not say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more on this point; suffice it to say that section 89 of the Civil Procedure Act mandates that the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in regard to suits shall be followed as far as it may be applicable (underlining supplied) in any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civil jurisdiction. As an illustration of what we are saying, Form Number 6 in Appendix B to the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Procedure Rules, sets out the format of an order to produce documents for inspection. Although it is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form of an order made after hearing both parties it does not follow the format of a decree. It follows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kind of format adopted by the Appellant in this appeal. The same observations would apply to Form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8 in Appendix E or Forms Number 13 and 14 in Appendix G. It may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well be that the court’s attention was not drawn to these Forms and if that is so, the observations in the</w:t>
      </w:r>
      <w:r w:rsidR="003570B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 of </w:t>
      </w:r>
      <w:r>
        <w:rPr>
          <w:rFonts w:ascii="Times New Roman" w:hAnsi="Times New Roman" w:cs="Times New Roman"/>
          <w:i/>
          <w:iCs/>
          <w:color w:val="000000"/>
        </w:rPr>
        <w:t xml:space="preserve">Shah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would have been made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incuriam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24764E" w:rsidRDefault="0024764E" w:rsidP="00247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result the application dated 26 November 1999 is dismissed with costs.</w:t>
      </w:r>
    </w:p>
    <w:p w:rsidR="0024764E" w:rsidRDefault="0024764E" w:rsidP="00247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24764E" w:rsidRDefault="0024764E" w:rsidP="00247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24764E" w:rsidRDefault="0024764E" w:rsidP="00247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24764E" w:rsidP="0024764E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4E"/>
    <w:rsid w:val="0024764E"/>
    <w:rsid w:val="003570B4"/>
    <w:rsid w:val="003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D37FF-21EE-49CC-9BDC-9E1D3058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2018-07-05T10:39:00Z</dcterms:created>
  <dcterms:modified xsi:type="dcterms:W3CDTF">2018-07-13T07:53:00Z</dcterms:modified>
</cp:coreProperties>
</file>