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Magezi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Ruparelia</w:t>
      </w:r>
      <w:proofErr w:type="spellEnd"/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June 2005</w:t>
      </w:r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16/01</w:t>
      </w:r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Breach of Contract – Construction of terms of the agreement – Principles to be applied</w:t>
      </w:r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resolving ambiguities in terms – Commercial purpose and factual background could be referred to –</w:t>
      </w:r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payment of the balance under the agreement was due.</w:t>
      </w:r>
    </w:p>
    <w:p w:rsidR="00577D62" w:rsidRDefault="0007250F" w:rsidP="00072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77D62" w:rsidRDefault="00577D62" w:rsidP="00072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This is an appeal against the decision of the Court of Appeal which reversed the High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decision in which </w:t>
      </w:r>
      <w:proofErr w:type="spellStart"/>
      <w:r>
        <w:rPr>
          <w:rFonts w:ascii="Times New Roman" w:hAnsi="Times New Roman" w:cs="Times New Roman"/>
          <w:color w:val="000000"/>
        </w:rPr>
        <w:t>Musoke-Kibuka</w:t>
      </w:r>
      <w:proofErr w:type="spellEnd"/>
      <w:r>
        <w:rPr>
          <w:rFonts w:ascii="Times New Roman" w:hAnsi="Times New Roman" w:cs="Times New Roman"/>
          <w:color w:val="000000"/>
        </w:rPr>
        <w:t xml:space="preserve"> J, had held that the respondent ought to have paid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 to the appellant within a period of 4 months from 4 July 1996, when the agreement between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the respondent was executed.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facts, giving rise to the case, were as follows: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were the shareholder and director of a company known as “Parking Control Systems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Limited”. That company had on 5 December 1995, entered into an agreement, exhibit P2, with Kampala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City Council (hereinafter referred to as KCC) under which, the company was to install, operate and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manage parking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 xml:space="preserve"> of specified type or as they agreed with KCC, on the streets within Kampala City.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project was divided into three phases: the first phase was the installation of the parking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educating and </w:t>
      </w:r>
      <w:proofErr w:type="spellStart"/>
      <w:r>
        <w:rPr>
          <w:rFonts w:ascii="Times New Roman" w:hAnsi="Times New Roman" w:cs="Times New Roman"/>
          <w:color w:val="000000"/>
        </w:rPr>
        <w:t>sensitising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public. This was to cover a period of six months from 1 June 1996.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phase was a period of six years commencing from the date of signing. The agreement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inclusive of six months mentioned in phase 1. The third phase was the renewal of the agreement after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expiration of the six years period. Notification of intention to renew was to be made in writing, 90 days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expiry of the six years period mentioned in second phase.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had started some preparatory work when on 4 July 1996, it executed a sale agreement,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exhibit P1, with the respondent. By this time; it had not yet installed the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 xml:space="preserve"> nor </w:t>
      </w:r>
      <w:proofErr w:type="spellStart"/>
      <w:r>
        <w:rPr>
          <w:rFonts w:ascii="Times New Roman" w:hAnsi="Times New Roman" w:cs="Times New Roman"/>
          <w:color w:val="000000"/>
        </w:rPr>
        <w:t>sensitised</w:t>
      </w:r>
      <w:proofErr w:type="spellEnd"/>
      <w:r>
        <w:rPr>
          <w:rFonts w:ascii="Times New Roman" w:hAnsi="Times New Roman" w:cs="Times New Roman"/>
          <w:color w:val="000000"/>
        </w:rPr>
        <w:t xml:space="preserve"> the public.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sale agreement, the company sold to the appellant all its rights and obligations under its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agreement, exhibit P2, with KCC. The purchase price was 120 million. One hundred million thereof was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on execution of the agreement. The balance of twenty million shillings was to be paid “within a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four months after the commencement of the operations of the business”.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four (4) months from the date of execution of the agreement, the appellant demanded from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the balance of the purchase price. The respondent, however, refused to pay, reasoning that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operations of the business had not yet commenced. The refusal to pay the balance of purchase price of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prompted the appellants to institute the suit in the High Court, claiming recovery of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of the purchase price, interest thereon, general damages for breach of contract and costs of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 The respondent denied liability. The High Court heard the case and decided against the respondent.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appealed to the Court of Appeal which allowed the appeal.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have appealed to this Court on the following grounds: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Justices of Appeal erred in law and fact when they held that the operation of the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business had not commenced.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learned Justices of Appeal erred in law and fact when they held that the balance of the purchase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price was not due because the company had not commenced operation of business.”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color w:val="000000"/>
        </w:rPr>
        <w:t>, counsel for the appellants argued both grounds together. He submitted that the thrust of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argument was based on when the operation of the business commenced. He submitted that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was to be paid within a period of 4 months after commencement of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the business. He contended that the answer to that issue can be determined by interpretation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clause ii of Article 2. He supported the decision of the learned trial Judge, where he held that: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business was the one which the company had already commenced operating on 1 June 1996, as per the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agency agreement, exhibit P2, with the Kampala City Council. The defendant found the business an on-going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 . . 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submitted that the Court of Appeal went into the intention of the parties and held otherwise, when it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at 41 of the record of appeal that: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clear therefore, that the installation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operationalisation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requisite parking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streets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Kampala City had not been effected even though the agreement, exhibit P2, stipulated that they were to be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concluded by 1 June 1996.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Applying the above phrase to these circumstances of the contract of sale, the intention of the parties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became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clear. It was clear that the balance of the purchase price would be paid 4 months after the parking meters had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installed and made operational. Any other construction without regard to these circumstances would lead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absurdity.”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referred us to the agreement dated 4 July 1996, between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Parking Control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Systems Limited; the vendor of the one part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Sudhir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Ruperellia</w:t>
      </w:r>
      <w:proofErr w:type="spellEnd"/>
      <w:r>
        <w:rPr>
          <w:rFonts w:ascii="Times New Roman" w:hAnsi="Times New Roman" w:cs="Times New Roman"/>
          <w:color w:val="000000"/>
        </w:rPr>
        <w:t>; the purchaser on the other,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whereby they had agreed in Article 1(1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iii) as follows: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“1(iii) Thirdly, the specific benefit of the contract signed between the vendor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Messrs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Kampala City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Council on 5 December 1995, and as supplemented on the 31 May 1996.”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further referred us to the evidence of PW1 where he stated in evidence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“Memorandum encompassed the goodwill of the company and the installation of parking meters in Kampala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120 million, of which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100 million was paid on signing of the agreement. The balance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 million was to be paid within 4 months of the commencement of the business which commencement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started on signing of the agreement.”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invited us to confirm the decision of the learned trial Judge who held that the operation of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was regulated by exhibit P2, the agreement made between Kampala City Council and Parking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Systems Limited on 1 June 1996, but not by the agreement of the sale of the company between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to the suit. Counsel, therefore, invited us to allow the appeal.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Byaruhanga</w:t>
      </w:r>
      <w:proofErr w:type="spellEnd"/>
      <w:r>
        <w:rPr>
          <w:rFonts w:ascii="Times New Roman" w:hAnsi="Times New Roman" w:cs="Times New Roman"/>
          <w:color w:val="000000"/>
        </w:rPr>
        <w:t>, counsel for the respondent, invited us to dismiss the appeal. He submitted that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between the respondent and the appellant was governed by Article 2(1)(ii) of the agreement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parties to this appeal contrary to the finding of the learned trial Judge, who had found that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parties were governed by the agreement between Kampala City Council and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Parking Control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Systems Limited, as there was no evidence that the terms of agreement Article, exhibit P2, between KCC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Parking Control Systems Limited was amended when the respondent took over the company,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Parking Control Systems Ltd.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Byaruhanga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submitted that the payment of the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was not to be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4 months after execution of the agreement between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to this appeal, but rather that it was to be paid after the commencement of the operations of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business.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referred us to Article 2(1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ii) of the sale agreement of the business between the appellant and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which provides as follows: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 The purchase price shall 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120 million (one hundred and twenty million shillings only), which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paid in the following manner: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100 million (one hundred million shillings only) upon execution of this agreement and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upon transfer of all the shares held by the former shareholders to the new shareholders.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balance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 million (twenty million shillings only) will be paid within a period of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four (4) months after commencement of the operations of the business.”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referred us to the evidence of PW1, </w:t>
      </w:r>
      <w:proofErr w:type="spellStart"/>
      <w:r>
        <w:rPr>
          <w:rFonts w:ascii="Times New Roman" w:hAnsi="Times New Roman" w:cs="Times New Roman"/>
          <w:color w:val="000000"/>
        </w:rPr>
        <w:t>Sudhir</w:t>
      </w:r>
      <w:proofErr w:type="spellEnd"/>
      <w:r>
        <w:rPr>
          <w:rFonts w:ascii="Times New Roman" w:hAnsi="Times New Roman" w:cs="Times New Roman"/>
          <w:color w:val="000000"/>
        </w:rPr>
        <w:t xml:space="preserve">, where he stated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not paid these people because the operation of the business has not commenced yet. By operation we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have the parking meters having been installed. The business has not started. Installation has not started. I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supposed to pay the 20 million shillings after the installation of the parking meters and operation of the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business. This was the intention of parties. It was agreed in the meetings and that is why an agreement was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like this.”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Byaruhanga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trial Judge for holding that the operations of the business were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regulated by exhibit P2, the agreement between Kampala City Council and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Parking Control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Systems Limited, but not by the agreement of sale of the company between the parties to the suit.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supported the finding of the Court of Appeal, which found that the contract which regulated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and conditions of sale between the parties to the subject matter of the suit, must be exhibit P1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parties had freely entered into.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there is no doubt that the question raised by this appeal is the construction to be put on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of the sale agreement between the parties to this appeal. Clearly, the construction of the sale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falls within the four corners of exhibit P1. In my view, the contract was not made in a vacuum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one to guess whether it was governed by exhibit P2, and </w:t>
      </w:r>
      <w:proofErr w:type="spellStart"/>
      <w:r>
        <w:rPr>
          <w:rFonts w:ascii="Times New Roman" w:hAnsi="Times New Roman" w:cs="Times New Roman"/>
          <w:color w:val="000000"/>
        </w:rPr>
        <w:t>or</w:t>
      </w:r>
      <w:proofErr w:type="spellEnd"/>
      <w:r>
        <w:rPr>
          <w:rFonts w:ascii="Times New Roman" w:hAnsi="Times New Roman" w:cs="Times New Roman"/>
          <w:color w:val="000000"/>
        </w:rPr>
        <w:t xml:space="preserve"> but not by exhibit P1. I think that the court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perfectly entitled to look at the agreement and be able to determine what was the intent and object of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when making the agreement.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Chitty on Contracts </w:t>
      </w:r>
      <w:r>
        <w:rPr>
          <w:rFonts w:ascii="Times New Roman" w:hAnsi="Times New Roman" w:cs="Times New Roman"/>
          <w:color w:val="000000"/>
        </w:rPr>
        <w:t>(27ed) gives guidelines on construction on the terms of agreements, such as this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one. Paragraph 12.039 deals with general rules of construction of written agreements and states that: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object of all construction of the terms of a written agreement is to discover therefrom the intention of the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to the agreement.”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Paragraph 12.040 goes further to state that: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cardinal presumption is that parties have intended what they have, in fact, said so that their words must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construed as they stand . . . one must consider the meaning of the words used, not what one may guess to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the intention of the parties. However, no contract is made in vacuum. In construing the document, the court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resolve an ambiguity by looking at its commercial purpose and the factual background against which it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made . . 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Reardon Smith Line Ltd v Hansen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[1976] WLR 995, Lord Wilberforce, while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dealing with words used in </w:t>
      </w:r>
      <w:r>
        <w:rPr>
          <w:rFonts w:ascii="Times New Roman" w:hAnsi="Times New Roman" w:cs="Times New Roman"/>
          <w:color w:val="000000"/>
        </w:rPr>
        <w:lastRenderedPageBreak/>
        <w:t xml:space="preserve">agreements, stated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contracts are made in vacuum; there is always a setting in which they have to be placed. The nature of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is legitimate to have regard to, is usually described as the surrounding circumstances but this phrase is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imprecise. It can be illustrated but hardly defined. In a commercial contract it is certainly right that the court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know the commercial purpose of the contract and this in turn presupposes knowledge of the genesis of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transaction, the background the content, the market in which the parties are operating.”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went further to state in that same case at 996 that: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one speaks of the intention of the parties to the contract, one is speaking objectively the parties cannot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themselves give direct evidence of what their intention was – and what must be ascertained is what is to be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taken as the intention which reasonable people would have had if placed, in the situation of the parties.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Similarly, when one is speaking of aim, or object or commercial purpose, one is speaking – objectively of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reasonable persons would have in mind in the situation of the parties . . .”</w:t>
      </w:r>
      <w:r w:rsidR="000725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 also – </w:t>
      </w:r>
      <w:r>
        <w:rPr>
          <w:rFonts w:ascii="Times New Roman" w:hAnsi="Times New Roman" w:cs="Times New Roman"/>
          <w:i/>
          <w:iCs/>
          <w:color w:val="000000"/>
        </w:rPr>
        <w:t xml:space="preserve">Glynn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Margetson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and others </w:t>
      </w:r>
      <w:r>
        <w:rPr>
          <w:rFonts w:ascii="Times New Roman" w:hAnsi="Times New Roman" w:cs="Times New Roman"/>
          <w:color w:val="000000"/>
        </w:rPr>
        <w:t xml:space="preserve">[1893] AC 351, </w:t>
      </w:r>
      <w:r>
        <w:rPr>
          <w:rFonts w:ascii="Times New Roman" w:hAnsi="Times New Roman" w:cs="Times New Roman"/>
          <w:i/>
          <w:iCs/>
          <w:color w:val="000000"/>
        </w:rPr>
        <w:t>Southland Frozen Meat and</w:t>
      </w:r>
      <w:r w:rsidR="0007250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Produce Export Co Ltd v Nelson Brothers Ltd </w:t>
      </w:r>
      <w:r>
        <w:rPr>
          <w:rFonts w:ascii="Times New Roman" w:hAnsi="Times New Roman" w:cs="Times New Roman"/>
          <w:color w:val="000000"/>
        </w:rPr>
        <w:t xml:space="preserve">[1898] AC 442 at 444, </w:t>
      </w:r>
      <w:r>
        <w:rPr>
          <w:rFonts w:ascii="Times New Roman" w:hAnsi="Times New Roman" w:cs="Times New Roman"/>
          <w:i/>
          <w:iCs/>
          <w:color w:val="000000"/>
        </w:rPr>
        <w:t xml:space="preserve">Miramar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Miramar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Corporation v</w:t>
      </w:r>
      <w:r w:rsidR="0007250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Holtorn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Oil Ltd </w:t>
      </w:r>
      <w:r>
        <w:rPr>
          <w:rFonts w:ascii="Times New Roman" w:hAnsi="Times New Roman" w:cs="Times New Roman"/>
          <w:color w:val="000000"/>
        </w:rPr>
        <w:t>[1984] AC at 682E.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Bearing in mind the evidence which was adduced from both sides, it is clear that the main object and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 of the agreement of sale, exhibit P2, between the parties to this appeal concerned installation and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the parking meters on the streets of Kampala City.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according to the relevant Article 2(ii) of the contract between the appellants and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respondent, dealing with the purchase price, exhibit P2, the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would be paid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a period of 4 months after commencement of the operation of the business. In this case, after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expiration of the 4 months after the execution of the agreement, the appellants approached the respondent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requiring him to pay the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million. The respondent refused to pay, arguing that the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remaining purchase price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would be paid 4 months after the parking meters had been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installed and made operational.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Clearly, according to the evidence of the respondent which was not challenged, installation and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the parking meters had not been effected.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payment of the balance of the purchase price was not yet due when the appellant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the suit.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Consequently, this appeal has no merit. I would accordingly dismiss it with costs to the respondent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 and in the courts below.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appellants:</w:t>
      </w:r>
      <w:r w:rsidR="0007250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577D62" w:rsidRDefault="00577D62" w:rsidP="0057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Byaruhanga</w:t>
      </w:r>
      <w:proofErr w:type="spellEnd"/>
    </w:p>
    <w:p w:rsidR="0080578A" w:rsidRDefault="0080578A"/>
    <w:sectPr w:rsidR="0080578A" w:rsidSect="003550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62"/>
    <w:rsid w:val="0007250F"/>
    <w:rsid w:val="00577D62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1ECDC-5532-4588-BD93-8F0AD5CB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2018-07-04T19:25:00Z</dcterms:created>
  <dcterms:modified xsi:type="dcterms:W3CDTF">2018-07-13T07:55:00Z</dcterms:modified>
</cp:coreProperties>
</file>