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Mahmood v Republic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 Es Salaam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December 1972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106/1972 (100/74)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Irregularity – Bond discharged in absence of accused – Order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valid until set aside – Whether failure of justice occasioned – Criminal Procedure Code, s. </w:t>
      </w:r>
      <w:r>
        <w:rPr>
          <w:rFonts w:ascii="Times New Roman" w:hAnsi="Times New Roman" w:cs="Times New Roman"/>
          <w:color w:val="000000"/>
        </w:rPr>
        <w:t>346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Irregularity – Order – Whether any order of criminal court can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be null and void – Criminal Procedure Code, s. </w:t>
      </w:r>
      <w:r>
        <w:rPr>
          <w:rFonts w:ascii="Times New Roman" w:hAnsi="Times New Roman" w:cs="Times New Roman"/>
          <w:color w:val="000000"/>
        </w:rPr>
        <w:t>346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was security for the attendance of the accused in a criminal case. When the accused failed</w:t>
      </w:r>
      <w:r w:rsidR="002825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appear, the accused applied for discharge from his bond, which discharge was granted.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Thereafter on a later date the applicant was ordered to forfeit his bond.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applied to the High Court to review this order, and the respondent argued that the first order was a</w:t>
      </w:r>
      <w:r w:rsidR="002825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 and could be ignored although it had not been set aside by a superior court.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first order is valid, even if made irregularly, until set aside by the High Court;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an order irregularly made can only be set aside when the irregularity has occasioned a failure of</w:t>
      </w:r>
      <w:r w:rsidR="0028251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justice;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to uphold the forfeiture of a bond already set aside would occasion a failure of justice.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Queen Empress v. Husein Gaibu</w:t>
      </w:r>
      <w:r>
        <w:rPr>
          <w:rFonts w:ascii="Times New Roman" w:hAnsi="Times New Roman" w:cs="Times New Roman"/>
          <w:color w:val="000000"/>
        </w:rPr>
        <w:t>, I.L.R. Bom. 1884, Vol. 8, 307.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Rakhu Sarif v. Panchanon Mondal</w:t>
      </w:r>
      <w:r>
        <w:rPr>
          <w:rFonts w:ascii="Times New Roman" w:hAnsi="Times New Roman" w:cs="Times New Roman"/>
          <w:color w:val="000000"/>
        </w:rPr>
        <w:t>, A.I.R., [1937] Cal. 256.</w:t>
      </w:r>
    </w:p>
    <w:p w:rsidR="00C10E2B" w:rsidRDefault="00C10E2B" w:rsidP="00C10E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Mohammad Hanif v. State of Madhya Pradesh</w:t>
      </w:r>
      <w:r>
        <w:rPr>
          <w:rFonts w:ascii="Times New Roman" w:hAnsi="Times New Roman" w:cs="Times New Roman"/>
          <w:color w:val="000000"/>
        </w:rPr>
        <w:t>, A.I.R. [1951] Nag. 185.</w:t>
      </w:r>
    </w:p>
    <w:p w:rsidR="003278A0" w:rsidRDefault="00C10E2B" w:rsidP="00C10E2B"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Macfoy v. United Africa Co.</w:t>
      </w:r>
      <w:r>
        <w:rPr>
          <w:rFonts w:ascii="Times New Roman" w:hAnsi="Times New Roman" w:cs="Times New Roman"/>
          <w:color w:val="000000"/>
        </w:rPr>
        <w:t>, [1962] A.C. 152; [1963] 3 All E.R. 1169.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2B"/>
    <w:rsid w:val="0028251A"/>
    <w:rsid w:val="003278A0"/>
    <w:rsid w:val="00C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A8D06-5C4B-40AE-8D86-ED5AA61D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2018-07-06T11:17:00Z</dcterms:created>
  <dcterms:modified xsi:type="dcterms:W3CDTF">2018-07-13T07:56:00Z</dcterms:modified>
</cp:coreProperties>
</file>