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Mahmood v Republic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December 1972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106/1972 (100/74)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Biron J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Irregularity – Bond discharged in absence of accused – Order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valid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until set aside – Whether failure of justice occasioned – Criminal Procedure Code, s. </w:t>
      </w:r>
      <w:r>
        <w:rPr>
          <w:rFonts w:ascii="Times New Roman" w:hAnsi="Times New Roman" w:cs="Times New Roman"/>
          <w:color w:val="000000"/>
        </w:rPr>
        <w:t>346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Irregularity – Order – Whether any order of criminal court can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null and void – Criminal Procedure Code, s. </w:t>
      </w:r>
      <w:r>
        <w:rPr>
          <w:rFonts w:ascii="Times New Roman" w:hAnsi="Times New Roman" w:cs="Times New Roman"/>
          <w:color w:val="000000"/>
        </w:rPr>
        <w:t>346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56618" w:rsidRDefault="002F6EEF" w:rsidP="002F6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F6EEF" w:rsidRDefault="00256618" w:rsidP="002F6E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Biron J: </w:t>
      </w:r>
      <w:r>
        <w:rPr>
          <w:rFonts w:ascii="Times New Roman" w:hAnsi="Times New Roman" w:cs="Times New Roman"/>
          <w:color w:val="000000"/>
        </w:rPr>
        <w:t>The petitioner is applying to this court in the exercise of its jurisdiction in revision to set aside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order of forfeiture made by the district court of </w:t>
      </w:r>
      <w:proofErr w:type="spellStart"/>
      <w:r>
        <w:rPr>
          <w:rFonts w:ascii="Times New Roman" w:hAnsi="Times New Roman" w:cs="Times New Roman"/>
          <w:color w:val="000000"/>
        </w:rPr>
        <w:t>Kilosa</w:t>
      </w:r>
      <w:proofErr w:type="spellEnd"/>
      <w:r>
        <w:rPr>
          <w:rFonts w:ascii="Times New Roman" w:hAnsi="Times New Roman" w:cs="Times New Roman"/>
          <w:color w:val="000000"/>
        </w:rPr>
        <w:t xml:space="preserve">, forfeiting his bond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3,000/-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had executed as surety for the release on bail of an accused, who was charged with being one of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directors of </w:t>
      </w:r>
      <w:proofErr w:type="spellStart"/>
      <w:r>
        <w:rPr>
          <w:rFonts w:ascii="Times New Roman" w:hAnsi="Times New Roman" w:cs="Times New Roman"/>
          <w:color w:val="000000"/>
        </w:rPr>
        <w:t>Wafanya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Biashara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Kilosa</w:t>
      </w:r>
      <w:proofErr w:type="spellEnd"/>
      <w:r>
        <w:rPr>
          <w:rFonts w:ascii="Times New Roman" w:hAnsi="Times New Roman" w:cs="Times New Roman"/>
          <w:color w:val="000000"/>
        </w:rPr>
        <w:t xml:space="preserve"> Ltd. stealing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7,050/- the property of the </w:t>
      </w:r>
      <w:proofErr w:type="spellStart"/>
      <w:r>
        <w:rPr>
          <w:rFonts w:ascii="Times New Roman" w:hAnsi="Times New Roman" w:cs="Times New Roman"/>
          <w:color w:val="000000"/>
        </w:rPr>
        <w:t>Wafanya</w:t>
      </w:r>
      <w:proofErr w:type="spellEnd"/>
      <w:r w:rsidR="002F6EE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Biashara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Kilosa</w:t>
      </w:r>
      <w:proofErr w:type="spellEnd"/>
      <w:r>
        <w:rPr>
          <w:rFonts w:ascii="Times New Roman" w:hAnsi="Times New Roman" w:cs="Times New Roman"/>
          <w:color w:val="000000"/>
        </w:rPr>
        <w:t xml:space="preserve"> Ltd. The facts of the case are not in dispute and can briefly be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had made a number of appearances before the court commencing 21 April 1972, until 13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1972, when his application for bail was granted conditionally on his producing two sureties each in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3,000/-. The petitioner, together with another man, one Anthony </w:t>
      </w:r>
      <w:proofErr w:type="spellStart"/>
      <w:r>
        <w:rPr>
          <w:rFonts w:ascii="Times New Roman" w:hAnsi="Times New Roman" w:cs="Times New Roman"/>
          <w:color w:val="000000"/>
        </w:rPr>
        <w:t>Samwel</w:t>
      </w:r>
      <w:proofErr w:type="spellEnd"/>
      <w:r>
        <w:rPr>
          <w:rFonts w:ascii="Times New Roman" w:hAnsi="Times New Roman" w:cs="Times New Roman"/>
          <w:color w:val="000000"/>
        </w:rPr>
        <w:t>, each executed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bond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3,000/- as surety for the accused’s appearance before the court. In proceedings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10 July 1972, when the accused failed to appear, and the prosecution applied for a warrant for his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arrest, the petitioner, who was present, applied for the discharge of his bond. He is recorded as saying: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accused is not traceable. Some time on 28 June 1972 he left home and informed 1st surety Anthony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Samwel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 came to inform the police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about accused’s disappearance. I do not know the whereabouts of 1st surety, Anthony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Samwel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he is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closely related to accused. I happen to be accused’s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 beg to be released as surety for accused.”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record then continues:</w:t>
      </w:r>
      <w:r w:rsidR="002F6EEF">
        <w:rPr>
          <w:rFonts w:ascii="Times New Roman" w:hAnsi="Times New Roman" w:cs="Times New Roman"/>
          <w:color w:val="000000"/>
        </w:rPr>
        <w:t xml:space="preserve"> </w:t>
      </w:r>
    </w:p>
    <w:p w:rsidR="00256618" w:rsidRDefault="00256618" w:rsidP="002F6E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ORDER: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Mahmood Mohamed is hereby released as accused’s surety.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Warrant of arrest to issue against accused.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Summons to show cause to issue to Anthony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Samwel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is accused’s surety.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J. 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Munissi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Resident Magistrate.”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The next entry in the court file is dated 21 July 1972, when the surety, Anthony </w:t>
      </w:r>
      <w:proofErr w:type="spellStart"/>
      <w:r>
        <w:rPr>
          <w:rFonts w:ascii="Times New Roman" w:hAnsi="Times New Roman" w:cs="Times New Roman"/>
          <w:color w:val="000000"/>
        </w:rPr>
        <w:t>Samwel</w:t>
      </w:r>
      <w:proofErr w:type="spellEnd"/>
      <w:r>
        <w:rPr>
          <w:rFonts w:ascii="Times New Roman" w:hAnsi="Times New Roman" w:cs="Times New Roman"/>
          <w:color w:val="000000"/>
        </w:rPr>
        <w:t xml:space="preserve"> was present and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states: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Court to surety: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You are required to show cause why you should not forfeit to the Republic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3,000/- you signed for in the bond as accused defaulted in making appearance to this Court on 10/7/72 and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 also failed to report to court.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st surety – Anthony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Samwel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states: </w:t>
      </w:r>
      <w:r>
        <w:rPr>
          <w:rFonts w:ascii="Times New Roman" w:hAnsi="Times New Roman" w:cs="Times New Roman"/>
          <w:color w:val="000000"/>
          <w:sz w:val="20"/>
          <w:szCs w:val="20"/>
        </w:rPr>
        <w:t>I did not think accused would abscond. But I am informed that he has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absconded to unknown place. But 2nd surety Mahmood Mohamed told me that accused might be in Dar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</w:t>
      </w:r>
      <w:proofErr w:type="spellEnd"/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Salaam.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own a retail shop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Chanjur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village. Accused is my brother.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J. 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Munissi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Resident Magistrate.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COURT: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accused, who has absconded, is charged with stealing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7,050/- and the surety signed a bond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3,000/- but has given no satisfactory reasons as to why he should not forfeit the money he signed for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bond. If he doubted the integrity of accused he should not have taken the trouble of binding himself as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surety. Accused is his brother. He may have secured his bail in order to buy him out of this crime. Therefore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surety must forfeit to the Republic in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3,000/-.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ORDER: </w:t>
      </w:r>
      <w:r>
        <w:rPr>
          <w:rFonts w:ascii="Times New Roman" w:hAnsi="Times New Roman" w:cs="Times New Roman"/>
          <w:color w:val="000000"/>
          <w:sz w:val="20"/>
          <w:szCs w:val="20"/>
        </w:rPr>
        <w:t>Warrant of arrest against accused extended. Warrant of arrest to issue against 2nd surety Mahmood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Mohamed.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1st surety, Anthony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Samwel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forfeit to the Republic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3,000/- to be paid into court in two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equal instalments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1,500/-. The first instalment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1,500/- to be paid to court by 10/8/72 and the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2nd instalment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1,500/- to be paid by 30/8/72 in default distress to issue.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J. 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Munissi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Resident Magistrate.”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next entry is dated 31 July 1972 and reads: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“31.7.72.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Coram: J. 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Munissi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R.M.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Pros: Inspector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Ramadhani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Accused – absent.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nd Surety: </w:t>
      </w:r>
      <w:r>
        <w:rPr>
          <w:rFonts w:ascii="Times New Roman" w:hAnsi="Times New Roman" w:cs="Times New Roman"/>
          <w:color w:val="000000"/>
          <w:sz w:val="20"/>
          <w:szCs w:val="20"/>
        </w:rPr>
        <w:t>Mahmood Mohamed.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COURT: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accused has not been traced and you are his surety for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3,000/-. The 1st surety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Anthony informed the court that you travelled with accused to Dar. Could you explain to court why you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forfeit to the Republic the sum you signed for in the bond?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nd surety for accused: Mohamed states: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not know the whereabouts of the accused. I have looked for him without success.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J. 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Munissi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Resident Magistrate.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ORDER: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2nd surety Mahmood Mohamed, is hereby ordered to forfeit to the Republic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3,000/- or distress to issue under section 131 of Cr. P. Code. He is given time to pay by 22/8/72. Warrant of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accused extended.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J. 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Munissi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Resident Magistrate.”</w:t>
      </w:r>
    </w:p>
    <w:p w:rsidR="00256618" w:rsidRDefault="00256618" w:rsidP="0025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from this order of forfeiture that the petitioner is now appealing.</w:t>
      </w:r>
    </w:p>
    <w:p w:rsidR="002F6EEF" w:rsidRDefault="00256618" w:rsidP="002F6E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In opposing the petition, the Director of Public Prosecutions, who appeared in person, submitted that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 of the court discharging the petitioner’s bond was a nullity, and although it was never set aside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any higher authority, the order being a nullity there was no need to have it set aside by a superior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tribunal, as it was ipso facto null and void. Therefore the order forfeiting the petitioner’s bond was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perfectly proper and should be upheld.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submission made by the Director raises two issues: one, whether the order discharging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petitioner’s bond was void and a nullity and, two, even if it was so, whether it did not require setting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by a superior tribunal, but was ipso facto null and of no effect.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submission that the order releasing the petitioner’s surety was a nullity is based on s. 128 of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Procedure Code (Cap. 20) which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“128 (1) All or any of the sureties for the appearance and attendance of a person released on bail may at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time apply to a magistrate to discharge the bond either wholly or so far as it relates to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or applicants.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On such application being made the magistrate shall issue his warrant of arrest directing that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so released be brought before him.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On the appearance of such person pursuant to the warrant, or on his voluntary surrender,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magistrate shall direct the bond to be discharged either wholly or so far as it relates to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or applicants, and shall call upon such person to find other sufficient sureties, and if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fails to do so may commit him to prison.”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Director submits that as the accused was not present at the making of the order discharging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petitioner’s bond, such order was null and void, the wording of the section requiring the presence of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accused, being mandatory.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support of his submission that the order being a nullity, there was no requirement to have it set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by a superior tribunal it being itself null and void, the Director cited a dictum of Lord Denning in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Privy Council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MacFoy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United Africa Co.</w:t>
      </w:r>
      <w:r>
        <w:rPr>
          <w:rFonts w:ascii="Times New Roman" w:hAnsi="Times New Roman" w:cs="Times New Roman"/>
          <w:color w:val="000000"/>
        </w:rPr>
        <w:t>, [1962] A.C. 152.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Lord Denning, in his judgment, stated, at p. 160: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defendant here sought to say, therefore, that the delivery of the statement of claim in the long vacation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a nullity and not a mere irregularity. This is the same as saying that it was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void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not merely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voidable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distinction between the two has been repeatedly drawn. If an act is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then it is in law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nullity</w:t>
      </w:r>
      <w:r>
        <w:rPr>
          <w:rFonts w:ascii="Times New Roman" w:hAnsi="Times New Roman" w:cs="Times New Roman"/>
          <w:color w:val="000000"/>
          <w:sz w:val="20"/>
          <w:szCs w:val="20"/>
        </w:rPr>
        <w:t>. It is not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 bad, but incurably bad. There is no need for an order of the court to set it aside. It is automatically null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void without more ado, though it is sometimes convenient to have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declare it to be so. And every proceeding which is founded on it is also bad and incurably bad. You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put something on nothing and expect it to stay there. It will collapse. So will this judgment collapse if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statement of claim was 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nullity.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But if an act is only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voidable</w:t>
      </w:r>
      <w:r>
        <w:rPr>
          <w:rFonts w:ascii="Times New Roman" w:hAnsi="Times New Roman" w:cs="Times New Roman"/>
          <w:color w:val="000000"/>
          <w:sz w:val="20"/>
          <w:szCs w:val="20"/>
        </w:rPr>
        <w:t>, then it is not automatically void. It is only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irregularity </w:t>
      </w:r>
      <w:r>
        <w:rPr>
          <w:rFonts w:ascii="Times New Roman" w:hAnsi="Times New Roman" w:cs="Times New Roman"/>
          <w:color w:val="000000"/>
          <w:sz w:val="20"/>
          <w:szCs w:val="20"/>
        </w:rPr>
        <w:t>which may be waived. It is not to be avoided unless something is done to avoid it. There must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an order of the court setting it aside: and the court has a discretion whether to set it aside or not. It will do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if justice demands it but not otherwise. Meanwhile it remains good and a support for all that has been made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it. So will this statement of claim be a support for the judgment, if it was only voidable and not void.”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Director submits that the order made by the district court discharging the petitioner’s bond was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likewise void, therefore a nullity and consequently did not require setting aside by a superior tribunal.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the fact that the dictum of Lord Denning was obiter, as in that case the irregularity did not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 the proceedings void, the irregular act was that of a layman in a civil case filing his plaint during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vacation. That is a very far cry from an order of a court of competent jurisdiction, </w:t>
      </w:r>
      <w:r>
        <w:rPr>
          <w:rFonts w:ascii="Times New Roman" w:hAnsi="Times New Roman" w:cs="Times New Roman"/>
          <w:color w:val="000000"/>
        </w:rPr>
        <w:lastRenderedPageBreak/>
        <w:t>and made in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proceedings. I do not think that this dictum can in any way constitute any authority for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proposition that an order made by a court of competent jurisdiction in criminal proceedings, although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irregular, can be regarded as ipso facto null and void, of no effect and can therefore be disregarded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not formally set aside by a superior tribunal.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are, however, cases much more to the point, which I now propose to review.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Indian Code of Criminal Procedure, on which our own Criminal Procedure Code is based, but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thankfully not slavishly followed, devotes a whole chapter (Chapter XLV) containing no less than ten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commencing from section 529 to 538 inclusive, on the consequences of irregular proceedings in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matters. And most of these sections contain catalogues of the several proceedings dealt with. It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sufficient to set out but two sections, 530 and 531. S. 530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“530. If any Magistrate, not being empowered by law in this behalf, does any of the following things,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namely: . . 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there then follows a catalogue of no fewer than eighteen orders or acts, which it is not necessary to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out, and the section concludes with: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“his proceedings shall be void.”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531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“531. No finding, sentence or order of any Criminal Court shall be set aside merely on the ground that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inquiry, trial or other proceedings in the course of which it was arrived at or passed, took place in a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wrong sessions division, district, sub-division or other local area, unless it appears that such error has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fact occasioned a failure of justice.”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should be added that the other sections also deal with irregularities, which have similar consequences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those set out in s. 531 and are not void like those in s. 530.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</w:rPr>
        <w:t>Chitaley</w:t>
      </w:r>
      <w:proofErr w:type="spellEnd"/>
      <w:r>
        <w:rPr>
          <w:rFonts w:ascii="Times New Roman" w:hAnsi="Times New Roman" w:cs="Times New Roman"/>
          <w:color w:val="000000"/>
        </w:rPr>
        <w:t xml:space="preserve"> and Rao’s commentary on the Criminal Procedure Code, 6th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 it is stated in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comment on “Void” in s. 530, at p. 3652: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“Proceedings which are void can be treated as a nullity though they have not been formally set aside (1). A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contrary view has, however, been taken in the under mentioned decisions (2).”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Under note (1) dealing with the authorities in support of the view that void proceedings need not be set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but are ipso facto a nullity, the editors give two cases. The second case given in the note bearing no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but only a reference and a statement (“Commitment without jurisdiction is void and no reference to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is necessary to have it set aside”) is, to my disappointment unobtainable. At least it has been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impossible to trace it in the court library and all the cross-references, which have been perused, are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 no authority for the proposition given in the note.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case cited as the authority for the proposition, is that of </w:t>
      </w:r>
      <w:r>
        <w:rPr>
          <w:rFonts w:ascii="Times New Roman" w:hAnsi="Times New Roman" w:cs="Times New Roman"/>
          <w:i/>
          <w:iCs/>
          <w:color w:val="000000"/>
        </w:rPr>
        <w:t xml:space="preserve">Queen Empress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Husein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Gaibu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I.L.R. </w:t>
      </w:r>
      <w:proofErr w:type="spellStart"/>
      <w:r>
        <w:rPr>
          <w:rFonts w:ascii="Times New Roman" w:hAnsi="Times New Roman" w:cs="Times New Roman"/>
          <w:color w:val="000000"/>
        </w:rPr>
        <w:t>Bom</w:t>
      </w:r>
      <w:proofErr w:type="spellEnd"/>
      <w:r>
        <w:rPr>
          <w:rFonts w:ascii="Times New Roman" w:hAnsi="Times New Roman" w:cs="Times New Roman"/>
          <w:color w:val="000000"/>
        </w:rPr>
        <w:t>. 1884, Vol. 8, 307. The headnote to that case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“Acquittal – Retrial – Interference of the High Court – The Code of Criminal Procedure Act X of 1882, secs.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403 and 530.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an offence is tried by a Court without jurisdiction, the proceedings are void under section 530 of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Code of Criminal Procedure Act X of 1882, and the offender, if acquitted, is liable to be retried under section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403. It is, therefore, not necessary for the High Court to upset the acquittal before the retrial can be had.”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is, I am afraid, necessary to set out the report in full, fortunately, it is short, as on my reading of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and the decision, the case does not really support the proposition set out in the headnote. To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 from the headnote set out, the report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was a reference, under section 438 of the Code of Criminal Procedure Act X of 1882, by A.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Clarke-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Jervoise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District Magistrate of Belgaum.”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case and the reasons for making the reference were stated as follows: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month of August last the accused obtained from the complainant, one </w:t>
      </w:r>
      <w:proofErr w:type="spellStart"/>
      <w:r>
        <w:rPr>
          <w:rFonts w:ascii="Times New Roman" w:hAnsi="Times New Roman" w:cs="Times New Roman"/>
          <w:color w:val="000000"/>
        </w:rPr>
        <w:t>Salu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Laxumana</w:t>
      </w:r>
      <w:proofErr w:type="spellEnd"/>
      <w:r>
        <w:rPr>
          <w:rFonts w:ascii="Times New Roman" w:hAnsi="Times New Roman" w:cs="Times New Roman"/>
          <w:color w:val="000000"/>
        </w:rPr>
        <w:t>, a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gold and a silver nose-ornament, a pair of ear ornaments, and a necklace of gold beads, valued together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variously by complainant at </w:t>
      </w:r>
      <w:proofErr w:type="spellStart"/>
      <w:r>
        <w:rPr>
          <w:rFonts w:ascii="Times New Roman" w:hAnsi="Times New Roman" w:cs="Times New Roman"/>
          <w:color w:val="000000"/>
        </w:rPr>
        <w:t>Rs</w:t>
      </w:r>
      <w:proofErr w:type="spellEnd"/>
      <w:r>
        <w:rPr>
          <w:rFonts w:ascii="Times New Roman" w:hAnsi="Times New Roman" w:cs="Times New Roman"/>
          <w:color w:val="000000"/>
        </w:rPr>
        <w:t xml:space="preserve">. 138, </w:t>
      </w:r>
      <w:proofErr w:type="spellStart"/>
      <w:r>
        <w:rPr>
          <w:rFonts w:ascii="Times New Roman" w:hAnsi="Times New Roman" w:cs="Times New Roman"/>
          <w:color w:val="000000"/>
        </w:rPr>
        <w:t>Rs</w:t>
      </w:r>
      <w:proofErr w:type="spellEnd"/>
      <w:r>
        <w:rPr>
          <w:rFonts w:ascii="Times New Roman" w:hAnsi="Times New Roman" w:cs="Times New Roman"/>
          <w:color w:val="000000"/>
        </w:rPr>
        <w:t xml:space="preserve">. 177 and </w:t>
      </w:r>
      <w:proofErr w:type="spellStart"/>
      <w:r>
        <w:rPr>
          <w:rFonts w:ascii="Times New Roman" w:hAnsi="Times New Roman" w:cs="Times New Roman"/>
          <w:color w:val="000000"/>
        </w:rPr>
        <w:t>Rs</w:t>
      </w:r>
      <w:proofErr w:type="spellEnd"/>
      <w:r>
        <w:rPr>
          <w:rFonts w:ascii="Times New Roman" w:hAnsi="Times New Roman" w:cs="Times New Roman"/>
          <w:color w:val="000000"/>
        </w:rPr>
        <w:t>. 95. The said ornaments were borrowed for a period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fifteen days for a ‘pat’ marriage ceremony. At the end of the said period complainant applied for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return of ornaments, but accused denied having received them. </w:t>
      </w:r>
      <w:proofErr w:type="spellStart"/>
      <w:r>
        <w:rPr>
          <w:rFonts w:ascii="Times New Roman" w:hAnsi="Times New Roman" w:cs="Times New Roman"/>
          <w:color w:val="000000"/>
        </w:rPr>
        <w:t>Some time</w:t>
      </w:r>
      <w:proofErr w:type="spellEnd"/>
      <w:r>
        <w:rPr>
          <w:rFonts w:ascii="Times New Roman" w:hAnsi="Times New Roman" w:cs="Times New Roman"/>
          <w:color w:val="000000"/>
        </w:rPr>
        <w:t xml:space="preserve"> after, complainant through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friends received back the nose and ear-ornaments. The necklace was not returned, but </w:t>
      </w:r>
      <w:proofErr w:type="spellStart"/>
      <w:r>
        <w:rPr>
          <w:rFonts w:ascii="Times New Roman" w:hAnsi="Times New Roman" w:cs="Times New Roman"/>
          <w:color w:val="000000"/>
        </w:rPr>
        <w:t>Rs</w:t>
      </w:r>
      <w:proofErr w:type="spellEnd"/>
      <w:r>
        <w:rPr>
          <w:rFonts w:ascii="Times New Roman" w:hAnsi="Times New Roman" w:cs="Times New Roman"/>
          <w:color w:val="000000"/>
        </w:rPr>
        <w:t>. 45 were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 her as the value of it. It appears, further, that a receipt was prepared, purporting to have been passed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complainant, acknowledging that she had received the above ornaments and </w:t>
      </w:r>
      <w:proofErr w:type="spellStart"/>
      <w:r>
        <w:rPr>
          <w:rFonts w:ascii="Times New Roman" w:hAnsi="Times New Roman" w:cs="Times New Roman"/>
          <w:color w:val="000000"/>
        </w:rPr>
        <w:t>Rs</w:t>
      </w:r>
      <w:proofErr w:type="spellEnd"/>
      <w:r>
        <w:rPr>
          <w:rFonts w:ascii="Times New Roman" w:hAnsi="Times New Roman" w:cs="Times New Roman"/>
          <w:color w:val="000000"/>
        </w:rPr>
        <w:t>. 45 as the value of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necklace. Complainant made a complaint to the chief constable, asserting that she passed no such receipt,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the value of the necklace was about </w:t>
      </w:r>
      <w:proofErr w:type="spellStart"/>
      <w:r>
        <w:rPr>
          <w:rFonts w:ascii="Times New Roman" w:hAnsi="Times New Roman" w:cs="Times New Roman"/>
          <w:color w:val="000000"/>
        </w:rPr>
        <w:t>Rs</w:t>
      </w:r>
      <w:proofErr w:type="spellEnd"/>
      <w:r>
        <w:rPr>
          <w:rFonts w:ascii="Times New Roman" w:hAnsi="Times New Roman" w:cs="Times New Roman"/>
          <w:color w:val="000000"/>
        </w:rPr>
        <w:t>. 138. After enquiry the chief constable sent the case for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to the Second Class Magistrate as an offence under section 406, Indian Penal Code (criminal breach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trust). The Magistrate at the trial prepared a charge under section 417, Indian Penal Code (cheating),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acquitted the accused under section 258, Code of Criminal Procedure.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Magistrate after acquitting the accused ordered the property before the Court, consisting of gold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silver nose ornaments worth about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4, and the ear ornaments worth about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35, and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45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given to the complainant.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omplainant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petitioned me against the order of acquittal</w:t>
      </w:r>
    </w:p>
    <w:p w:rsidR="00256618" w:rsidRDefault="00256618" w:rsidP="002F6E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errors in the Magistrate’s proceedings are: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1st – That, if the circumstances are as stated, there was no ground for charging the accused with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offence of cheating, as accused is not shown to have had any intention of deceiving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complainant when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borrowed the ornaments.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2nd – That, if the magistrate considered the offence to be one of cheating, he had no authority to try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case, as the cheating was accompanied by delivery of property, and the offence would fall under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420, Indian Penal Code, and be beyond the Second Class Magistrate’s jurisdiction.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 understand, therefore, that the magistrate has tried and acquitted the accused of an offence which it was</w:t>
      </w:r>
      <w:r w:rsidR="002F6EE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not within his jurisdiction to try, and that, therefore, his proceedings being illegal they must be quashed, and</w:t>
      </w:r>
      <w:r w:rsidR="002F6EE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accused be put on trial for such offence as he appears to have committed, viz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that entered in the charge</w:t>
      </w:r>
      <w:r w:rsidR="002F6EE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sheet under section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406,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Indian Penal Code.</w:t>
      </w:r>
      <w:r w:rsidR="002F6EE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is, or is not, a reasonable prospect of the accused being convicted, the complainant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appears to be entitled to have her complaint legally tried; and the trial held was without jurisdiction.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 one appeared in the High Court on behalf of the accused or the Crown.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. – If the magistrate who acquitted the accused had no jurisdiction, his proceedings are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simply void under section 530 of the Code of Criminal Procedure. There is nothing, therefore, to prevent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trial by a competent court under section 403 of the Code. There is, accordingly, no reason for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interference of the High Court.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will be noted that the sole basis for the proposition in the headnote was the dictum made at the end,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 xml:space="preserve">. With respect, apart from the fact that it is expressly stated in the paragraph I have </w:t>
      </w:r>
      <w:proofErr w:type="spellStart"/>
      <w:r>
        <w:rPr>
          <w:rFonts w:ascii="Times New Roman" w:hAnsi="Times New Roman" w:cs="Times New Roman"/>
          <w:color w:val="000000"/>
        </w:rPr>
        <w:t>italicised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magistrate’s proceedings being illegal </w:t>
      </w:r>
      <w:r>
        <w:rPr>
          <w:rFonts w:ascii="Times New Roman" w:hAnsi="Times New Roman" w:cs="Times New Roman"/>
          <w:i/>
          <w:iCs/>
          <w:color w:val="000000"/>
        </w:rPr>
        <w:t>they must be quashed</w:t>
      </w:r>
      <w:r>
        <w:rPr>
          <w:rFonts w:ascii="Times New Roman" w:hAnsi="Times New Roman" w:cs="Times New Roman"/>
          <w:color w:val="000000"/>
        </w:rPr>
        <w:t>, for reasons which will hereinafter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appear, I would say that this dictum was per </w:t>
      </w:r>
      <w:proofErr w:type="spellStart"/>
      <w:r>
        <w:rPr>
          <w:rFonts w:ascii="Times New Roman" w:hAnsi="Times New Roman" w:cs="Times New Roman"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 by no means alone in </w:t>
      </w:r>
      <w:proofErr w:type="spellStart"/>
      <w:r>
        <w:rPr>
          <w:rFonts w:ascii="Times New Roman" w:hAnsi="Times New Roman" w:cs="Times New Roman"/>
          <w:color w:val="000000"/>
        </w:rPr>
        <w:t>criticising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proposition contained in the headnote to the case. It was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and not followed in the Calcutta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Rakhu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Sarif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Panchanon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Mondal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A.I.R. 1937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Calcutta 256. The relevant part of the headnote to this case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“Criminal P.C. (1898), S. 530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/>
          <w:sz w:val="20"/>
          <w:szCs w:val="20"/>
        </w:rPr>
        <w:t>Order on appeal made without jurisdiction is void – Such order is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nevertheless valid unless set aside by competent Court – It is not imperative on High Court to set aside such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order which is void for want of jurisdiction must nevertheless be regarded as valid unless set aside by a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of competent jurisdiction.”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it is stated in the judgment, at p. 257: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“There can be no question in view of the provisions of s. 530, Criminal P.C., that the proceedings before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Sessions judge were void. But a further question that arises for consideration is whether, though void, they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 be ignored entirely or whether they have to be set aside by this Court. Now, that matter was considered by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Chief Court of Rangoon in 6 Cr. L. J. 287. It was there held that an order which was void for want of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must nevertheless be regarded as valid unless it is set aside by a Court of competent jurisdiction. I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respectfully agree with that decision. It is only necessary to examine the present case upon the supposition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learned Sessions Judge had allowed the appeal instead of dismissing it. It would be a most dangerous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doctrine to hold that the District Magistrate would have been entitled to treat the decision of the Sessions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Judge as a nullity and to proceed to levy the fine from the successful appellant. A further practical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difficulty is that the question will always arise whether the order which is said to be void is really void or not;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it is certainly not for a Magistrate to say that an order of the Sessions Judge can be ignored altogether.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course of the argument the learned Deputy Legal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Remembrancer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drew my attention to 8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Bom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307.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learned Judges there were not dealing with the hearing of an appeal by a Court having no jurisdiction to hear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it. They were dealing with the application of s. 403, Criminal P.C. The judgment is extremely short. The case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argued and no reasons are given for the decision. The decision is that s. 403 had no application when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order of acquittal has been passed by a Court without jurisdiction. With great respect, speaking for myself,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should very much doubt whether that decision is correct; but it certainly does not apply to the actual facts of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present case.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Now, in dealing with the present point, the learned Judges of the Chief Court of Lower Burma pointed out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it is not imperative on the High Court to set aside an order made on appeal without jurisdiction. With that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opinion I also respectfully agree. Therefore, strictly speaking, before filing his appeal in the Court of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District Magistrate, the accused person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Panchanon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Mondal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ought to first have applied to this Court to set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aside the order of the Sessions Judge. It is to be noted that it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Panchanon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himself who went to the wrong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Court, and it might be that in the absence of a satisfactory explanation for his so doing this Court might refuse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interfere. Here again it would lead to mere waste of time if I were to order the District Magistrate to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dismiss the appeal as incompetent and then leave it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Panchanon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Mondal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apply to this Court to set aside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order of the Sessions Judge. In the present state of the matter it is, in my opinion, desirable that it should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finally settled. The order I make on this reference therefore is that I set aside the order of the Sessions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Judge dismissing the appeal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Panchanon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Mondal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direct the District Magistrate to hear his appeal and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dispose of it in accordance with law.”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case was considered and followed in the Nagpur case of Mohammad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Hanif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State of Madhya</w:t>
      </w:r>
      <w:r w:rsidR="002F6EE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Pradesh</w:t>
      </w:r>
      <w:r>
        <w:rPr>
          <w:rFonts w:ascii="Times New Roman" w:hAnsi="Times New Roman" w:cs="Times New Roman"/>
          <w:color w:val="000000"/>
        </w:rPr>
        <w:t xml:space="preserve">, 1951 A.I.R. Nagpur 185. It also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Bombay case, </w:t>
      </w:r>
      <w:r>
        <w:rPr>
          <w:rFonts w:ascii="Times New Roman" w:hAnsi="Times New Roman" w:cs="Times New Roman"/>
          <w:i/>
          <w:iCs/>
          <w:color w:val="000000"/>
        </w:rPr>
        <w:t xml:space="preserve">Queen Empress v. Hussein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Gaibu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relevant part of the headnote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Criminal P.C. (1898), s. 530 – Order void for want of jurisdiction is nevertheless valid unless set aside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competent court.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Anno.Cr.P.C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s. 530, N. 9 (Para. 4).”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Para. 4 of the judgment referred to in the headnote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“(4) In so far as the conviction of the petitioner under cl. 5 (1) of the Ordinance is concerned it is pointed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out by Shri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Shareef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who appears for the petitioner, that it is wholly void under s. 530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</w:rPr>
        <w:t>), Criminal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P.C., because though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offence is punishable with the imprisonment for one year the case against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petitioner was tried by summary procedure. In support of his contention, the learned counsel relies on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 decision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Queen Empress v. Hussein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Gaibu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8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Bom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307. In that case a person was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tried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an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offence without jurisdiction and acquitted, and the question was whether he could be retried in respect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same offence without having the acquittal set aside. The Court held that the trial was wholly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void under s. 530, Criminal P.C. and that it was not necessary for the High Court to upset the acquittal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before a retrial could be had. This decision was considered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Rakhu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Sarif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Panchanon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Mondal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I.L.R. (1937) 2 Cal. 116: A.I.R. (24) 1937 Cal. 256: and was disapproved. In that case it was held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following the decision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Emperor v.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6 Cr. L. J. 287: (4 L.B.R. 49) that an order which is void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want of jurisdiction must nevertheless be regarded as valid unless it is set aside by a Court of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competent jurisdiction. In the latter case it was observed as follows: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‘From a comparison of the language of s. 530 with that of s. 529, Criminal P.C., we think it may be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inferred that the Legislature did not intend that a proceeding of a duly constituted Criminal Court,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void for want of jurisdiction, should be treated as a nullity and disregarded, unless and until it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set aside by a Court of competent jurisdiction.’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great respect to the learned Judges of the Bombay High Court, we think that the reason given by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Burma Court is indeed very weighty and that we would not be justified in ignoring the fact of the petitioner’s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conviction, even though,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prima facie</w:t>
      </w:r>
      <w:r>
        <w:rPr>
          <w:rFonts w:ascii="Times New Roman" w:hAnsi="Times New Roman" w:cs="Times New Roman"/>
          <w:color w:val="000000"/>
          <w:sz w:val="20"/>
          <w:szCs w:val="20"/>
        </w:rPr>
        <w:t>, the offence was not triable by summary procedure. The proper course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 the petitioner would have been to move this Court in its criminal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revisional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jurisdiction to have his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conviction quashed. But he has not taken that course even up till now. At the moment, we are exercising our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under a special provision in the Constitution, and it is not open to us while doing so to act or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purport to act under the Criminal P.C. and quash the conviction here and now. On the other hand, we are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bound to accept the fact of conviction as conclusive, whether or not any offence was actually committed by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petitioner and whether the trial held was or was not regular.”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could not agree more with the proposition that it would be dangerous to treat the order of a court of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competent jurisdiction, particularly in a criminal matter, as a nullity and can therefore be disregarded. To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mind, if such a procedure were adopted, it would lead to chaos.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take an extreme example, if a subordinate court dealt with a case of manslaughter, over which it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no jurisdiction, and after conviction sentenced the accused person to imprisonment, would the prison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officer, knowing that the court had no jurisdiction, and therefore the proceedings were a nullity, be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justified in ignoring the conviction and sentence of the court, and in disregard of the commitment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warrant, release the convicted person without further ado? To my mind, the answer to that can only be an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unequivocal no.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Criminal Procedure Code the provisions relating to irregularities are contained in but two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sections: ss. 345 and 346. The former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“345. No finding, sentence or order of any criminal court shall be set aside merely on the ground that the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inquiry, trial or other proceeding, in the course of which it was arrived at or passed, took place in a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wrong region, district or other local area, unless it appears that such error has in fact occasioned a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failure of justice.”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will be noted that this corresponds to s. 531 of the Indian Criminal Procedure Code above set out.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346, as amended by the Written Laws (Miscellaneous Amendments) Act 1970 reads: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“346. ( 1)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ubject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provisions hereinbefore contained, no finding, sentence or order made or passed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a court of competent jurisdiction shall be reversed or altered on an appeal or revision on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 of any error, omission or irregularity in the complaint, summons, warrant, charge,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proclamation, order, judgment, or in any inquiry or other proceedings under this Code: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where on an appeal or revision, the court is satisfied that such error, omission or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irregularity has in fact occasioned a failure of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justice, the court may order a retrial or make such other order as it may consider just and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equitable.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In determining whether any error, omission or irregularity has occasioned a failure of justice,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shall have regard to the question as to whether an objection could and should have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raised at an earlier stage in the proceedings.”</w:t>
      </w:r>
      <w:r w:rsidR="002F6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Giving the words of the section their plain and ordinary meaning, which is the cardinal rule of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construction, I would say that that section provides an umbrella covering all irregularities in proceedings,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can, in fact, should, be validated, unless it would occasion a failure of justice. It cannot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be said that under our Code there are any proceedings which are void and consequently a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nullity. Therefore, in my view, and I have no hesitation in so holding, no order made by a competent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however irregular, is void and consequently ipso facto a nullity.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recapitulate, in general, I would hold that no order made by a competent court is void and ipso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 a nullity and further, even if such order were void, it still would not be ipso facto a nullity, but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remain valid until avoided by a superior court, for, as I think, sufficiently demonstrated, even in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where irregular proceedings which are expressly declared void by the Indian Criminal Procedure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Code, the preponderant view of the Indian authorities is that although void, such orders remain valid until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aside by a court of superior jurisdiction.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the above principles to this instant case, the order made by the District Court in discharging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petitioner’s bond, although </w:t>
      </w:r>
      <w:r>
        <w:rPr>
          <w:rFonts w:ascii="Times New Roman" w:hAnsi="Times New Roman" w:cs="Times New Roman"/>
          <w:color w:val="000000"/>
        </w:rPr>
        <w:lastRenderedPageBreak/>
        <w:t>irregular, was perfectly valid and remained so unless and until set aside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this court. Therefore, the District Magistrate had no right or power to disregard it and order the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forfeiture of the petitioner’s bond.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now necessary to consider whether this order of the court forfeiting the petitioner’s bond,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court was not competent to make it, as it had already discharged the bond, which order of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 was still in force, not having been set aside by a superior court, can, and should be upheld.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think, sufficiently demonstrated, under our Code, no order made by a competent court, however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irregular, is ipso facto void and a nullity. Further, it could, and should, be upheld by a superior court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that no failure of justice would be occasioned thereby, as laid down in s. 346 of the Criminal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Code. The issue is thus narrowed down as to whether to uphold this order would occasion a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of justice. To my mind, it well could, for if the petitioner’s bond had not been discharged, he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had an incentive to try and find the accused person. As it was, the discharge of his bond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lulled him into a feeling of security, that he need make no effort to try and find the accused. To uphold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magistrate’s order forfeiting the bond could, therefore, well occasion a failure of justice.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Consequently, it would, in my view, be dangerous to uphold the order. Therefore, I consider myself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constrained to set it aside.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is accordingly granted, and the order of the district court forfeiting the petitioner’s bond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set aside.</w:t>
      </w:r>
      <w:r w:rsidR="002F6E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any money has in fact been paid by the petitioner under this Order, it is to be refunded to him.</w:t>
      </w:r>
    </w:p>
    <w:p w:rsidR="003278A0" w:rsidRDefault="00256618" w:rsidP="00256618"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18"/>
    <w:rsid w:val="00256618"/>
    <w:rsid w:val="002F6EEF"/>
    <w:rsid w:val="0032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65CBD-95C5-4FFF-877E-11EF650F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4237</Words>
  <Characters>24156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2018-07-06T11:18:00Z</dcterms:created>
  <dcterms:modified xsi:type="dcterms:W3CDTF">2018-07-13T07:59:00Z</dcterms:modified>
</cp:coreProperties>
</file>