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Makau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 and another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July 1974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237/1972 (21/75)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Limitation of Actions – Proceedings against Government – Under Fatal Accidents Act – Must be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filed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within </w:t>
      </w:r>
      <w:r>
        <w:rPr>
          <w:rFonts w:ascii="Times New Roman" w:hAnsi="Times New Roman" w:cs="Times New Roman"/>
          <w:color w:val="000000"/>
        </w:rPr>
        <w:t xml:space="preserve">12 </w:t>
      </w:r>
      <w:r>
        <w:rPr>
          <w:rFonts w:ascii="Times New Roman" w:hAnsi="Times New Roman" w:cs="Times New Roman"/>
          <w:i/>
          <w:iCs/>
          <w:color w:val="000000"/>
        </w:rPr>
        <w:t xml:space="preserve">months – Public Authorities Limitation Act </w:t>
      </w:r>
      <w:r>
        <w:rPr>
          <w:rFonts w:ascii="Times New Roman" w:hAnsi="Times New Roman" w:cs="Times New Roman"/>
          <w:color w:val="000000"/>
        </w:rPr>
        <w:t>1974</w:t>
      </w:r>
      <w:r>
        <w:rPr>
          <w:rFonts w:ascii="Times New Roman" w:hAnsi="Times New Roman" w:cs="Times New Roman"/>
          <w:i/>
          <w:iCs/>
          <w:color w:val="000000"/>
        </w:rPr>
        <w:t>, s.</w:t>
      </w:r>
      <w:r>
        <w:rPr>
          <w:rFonts w:ascii="Times New Roman" w:hAnsi="Times New Roman" w:cs="Times New Roman"/>
          <w:color w:val="000000"/>
        </w:rPr>
        <w:t>3 (1)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Master and Servant – Vicarious liability – Government servant entitled to mileage allowance –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Government not liable for servant’s negligence.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223.</w:t>
      </w:r>
    </w:p>
    <w:p w:rsidR="00072997" w:rsidRDefault="00840CC6" w:rsidP="00840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72997" w:rsidRDefault="00072997" w:rsidP="00840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Simpson J: </w:t>
      </w:r>
      <w:r>
        <w:rPr>
          <w:rFonts w:ascii="Times New Roman" w:hAnsi="Times New Roman" w:cs="Times New Roman"/>
          <w:color w:val="000000"/>
        </w:rPr>
        <w:t xml:space="preserve">In this suit for damages under the </w:t>
      </w:r>
      <w:proofErr w:type="gramStart"/>
      <w:r>
        <w:rPr>
          <w:rFonts w:ascii="Times New Roman" w:hAnsi="Times New Roman" w:cs="Times New Roman"/>
          <w:color w:val="000000"/>
        </w:rPr>
        <w:t>Fatal</w:t>
      </w:r>
      <w:proofErr w:type="gramEnd"/>
      <w:r>
        <w:rPr>
          <w:rFonts w:ascii="Times New Roman" w:hAnsi="Times New Roman" w:cs="Times New Roman"/>
          <w:color w:val="000000"/>
        </w:rPr>
        <w:t xml:space="preserve"> accidents Act (Cap. 32), the first defendant who is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Attorney-General seeks by way of a preliminary objection to have his name struck out of the plaint.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at the time of the accident which resulted in the death of the deceased was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employed in the Water Development Department of the Ministry of Agriculture and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is sued under the provisions of the Government Proceedings Act (Cap. 40).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alleges that the deceased was a passenger in the second defendant’s motor vehicle at 7.30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p.m. on 27 November 1969, when he so negligently drove it that it overturned resulting in serious injuries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deceased from which he died “soon thereafter”. The second defendant, it is averred, was “at all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times material to this suit acting in the course of his employment or within the scope of his authority as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Government employee or servant or agent whatever the case may be”.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the only allegation against the first defendant. The nature of the second defendant’s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is not stated, nor his particular duty at the time of the accident.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alleged that the deceased was a government servant. The time of the accident was outside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normal hours of duty of a government servant and the vehicle the second defendant was driving was his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own.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the first defendant would not be liable for the negligence of the second defendant in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circumstances. The plaint fails to allege facts which would render the first defendant liable. No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is disclosed against the first defendant. I should have given sympathetic consideration to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for leave to amend the plaint had it been made and had any effective amendment been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possible. I am informed however that the plaintiff does not claim that the second defendant was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employed by the Government as a driver his own vehicle in circumstances which would have entitled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make a claim for mileage allowance.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has in addition to the foregoing pleaded the Public Officer’s Protection Act (Cap.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186) now replaced by the Public Authorities Limitation Act 1974. The accident occurred on 27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November 1969. The plaint was not filed until 16 February 1972. Under the provisions of the Public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Officer’s Protection Act proceedings should have been instituted within six months of the act, neglect or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complained of or in the case of a continuance of injury or damage within three months of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ceasing thereof.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Mutinda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Public Officer’s Protection Act cannot be pleaded where an action is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by the personal representative of a deceased person under the provisions of the Fatal Accidents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(Cap. 32). He cited a number of English authorities. No East African authority was brought to my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by </w:t>
      </w:r>
      <w:proofErr w:type="gramStart"/>
      <w:r>
        <w:rPr>
          <w:rFonts w:ascii="Times New Roman" w:hAnsi="Times New Roman" w:cs="Times New Roman"/>
          <w:color w:val="000000"/>
        </w:rPr>
        <w:t>either counsel and</w:t>
      </w:r>
      <w:proofErr w:type="gramEnd"/>
      <w:r>
        <w:rPr>
          <w:rFonts w:ascii="Times New Roman" w:hAnsi="Times New Roman" w:cs="Times New Roman"/>
          <w:color w:val="000000"/>
        </w:rPr>
        <w:t xml:space="preserve"> it would appear that there is no reported case. It is a point of law of some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on which I should have welcomed fuller argument and the assistance of senior counsel.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Mutinda</w:t>
      </w:r>
      <w:proofErr w:type="spellEnd"/>
      <w:r>
        <w:rPr>
          <w:rFonts w:ascii="Times New Roman" w:hAnsi="Times New Roman" w:cs="Times New Roman"/>
          <w:color w:val="000000"/>
        </w:rPr>
        <w:t xml:space="preserve"> relied mainly on </w:t>
      </w:r>
      <w:r>
        <w:rPr>
          <w:rFonts w:ascii="Times New Roman" w:hAnsi="Times New Roman" w:cs="Times New Roman"/>
          <w:i/>
          <w:iCs/>
          <w:color w:val="000000"/>
        </w:rPr>
        <w:t>Venn v. Tedesco</w:t>
      </w:r>
      <w:r>
        <w:rPr>
          <w:rFonts w:ascii="Times New Roman" w:hAnsi="Times New Roman" w:cs="Times New Roman"/>
          <w:color w:val="000000"/>
        </w:rPr>
        <w:t xml:space="preserve">, [1926] 2 K.B. 227 where </w:t>
      </w: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>, J. in an action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Lord Campbell’s Act, the Fatal Accidents Act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1846, against defendants to whom the Public Authorities Protection Act 1893 was otherwise applicable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the time within which the action could be brought was that limited by the former and not that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by the latter Act.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purposes of this case the material provisions of the Fatal Accidents Act (Cap. 32) are identical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those of the Fatal Accidents Act 1846, and the material provisions of the Public Officers Protection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(Cap. 186) to those of the Public Officers Authorities Protection Act 1893, prior to its amendment in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1939.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 xml:space="preserve">, J. said he felt bound to follow the decision of the Privy Council in </w:t>
      </w:r>
      <w:r>
        <w:rPr>
          <w:rFonts w:ascii="Times New Roman" w:hAnsi="Times New Roman" w:cs="Times New Roman"/>
          <w:i/>
          <w:iCs/>
          <w:color w:val="000000"/>
        </w:rPr>
        <w:t>British Columbia</w:t>
      </w:r>
      <w:r w:rsidR="00840CC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Electric Ry. v. Gentile</w:t>
      </w:r>
      <w:r>
        <w:rPr>
          <w:rFonts w:ascii="Times New Roman" w:hAnsi="Times New Roman" w:cs="Times New Roman"/>
          <w:color w:val="000000"/>
        </w:rPr>
        <w:t>, [1914] A.C. 1034, it being highly undesirable that there should be conflict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decisions of the Privy Council and the High Court. His decision appears to have been based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almost </w:t>
      </w:r>
      <w:r>
        <w:rPr>
          <w:rFonts w:ascii="Times New Roman" w:hAnsi="Times New Roman" w:cs="Times New Roman"/>
          <w:color w:val="000000"/>
        </w:rPr>
        <w:lastRenderedPageBreak/>
        <w:t>wholly on the weight of Privy Council authority which, with obvious reluctance, he felt bound to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 because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Nunan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Southern Ry</w:t>
      </w:r>
      <w:r>
        <w:rPr>
          <w:rFonts w:ascii="Times New Roman" w:hAnsi="Times New Roman" w:cs="Times New Roman"/>
          <w:color w:val="000000"/>
        </w:rPr>
        <w:t>., [1924] 1 K.B. 223 in dealing with a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 which he considered not wholly dissimilar had apparently treated </w:t>
      </w:r>
      <w:r>
        <w:rPr>
          <w:rFonts w:ascii="Times New Roman" w:hAnsi="Times New Roman" w:cs="Times New Roman"/>
          <w:i/>
          <w:iCs/>
          <w:color w:val="000000"/>
        </w:rPr>
        <w:t xml:space="preserve">Gentile’s </w:t>
      </w:r>
      <w:r>
        <w:rPr>
          <w:rFonts w:ascii="Times New Roman" w:hAnsi="Times New Roman" w:cs="Times New Roman"/>
          <w:color w:val="000000"/>
        </w:rPr>
        <w:t>case as an authority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acted on by them.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p. 233 he said: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great deal of the case law with respect to the inter-relationship of Lord Campbell’s Act and the Public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Authorities Protection Act is in a state of some doubt. No tabula rasa exists on which a clear and logical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can be written. I must now refer to the leading decision relied on by counsel for the plaintiff –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namely,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British Columbia Electric Ry. v. Gentile</w:t>
      </w:r>
      <w:r>
        <w:rPr>
          <w:rFonts w:ascii="Times New Roman" w:hAnsi="Times New Roman" w:cs="Times New Roman"/>
          <w:color w:val="000000"/>
          <w:sz w:val="20"/>
          <w:szCs w:val="20"/>
        </w:rPr>
        <w:t>. That case was before the Privy Council. It was an appeal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Court of Appeal of British Columbia. In that Province two Acts were in force – namely, the Families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Act, 1911 (2 Geo. 5, c. 82, Revised Statutes), which in substance was the same as Lord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Campbell’s Act, and gave the same limit of time for bringing an action, and the Consolidated Railway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Companies Act, 1896, of British Columbia (59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Vict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c. 55), which, for the purpose of the case, can be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regarded as in substance the same as the English Public Authorities Protection Act, 1893. The action was by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widow. Her husband had been knocked down and instantaneously killed by one of the defendant’s cars,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negligence was alleged and proved. The action was begun by the widow more than six months, but less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than twelve months, after the accident and death. It was held by the Privy Council that the action was not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barred, inasmuch as the time was fixed by the Families Compensation Act, 1911, and not by the Consolidated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Railway Companies Act 1896.”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While the British Columbia Consolidated Railway Companies Act 1896 might no doubt for the purpose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that case be regarded as in substance the same as the English Public Authorities Protection Act 1893,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significant differences in the drafting of the material provisions.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provisions of the latter Act read as follows: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Where any action, prosecution or other proceeding is commenced against any person for any act done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pursuance or execution or intended execution of any Act of Parliament, or of any public duty or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authority, or in respect of any alleged neglect or default in the execution of any such Act, duty, or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authority, the following provisions shall have effect–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action, prosecution, or proceeding shall not lie or be instituted unless it is commenced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six months next after the act, neglect, or default complained of, or, in the case of a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continuance of injury or damage, within six months next after the ceasing thereof.”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(In Kenya the latter period is three months.)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60 of the British Columbia Act provided: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“all actions or suits for indemnity for any damage or injury sustained by reason of the tramway or railway, or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works or operations of the company, shall be commenced within six months next after the time when such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supposed damage is sustained, or, if there is continuance of damage, within six months next after the doing or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committing of such damage ceases, and not afterwards.”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Dunedin, in the </w:t>
      </w:r>
      <w:r>
        <w:rPr>
          <w:rFonts w:ascii="Times New Roman" w:hAnsi="Times New Roman" w:cs="Times New Roman"/>
          <w:i/>
          <w:iCs/>
          <w:color w:val="000000"/>
        </w:rPr>
        <w:t xml:space="preserve">British Columbia </w:t>
      </w:r>
      <w:r>
        <w:rPr>
          <w:rFonts w:ascii="Times New Roman" w:hAnsi="Times New Roman" w:cs="Times New Roman"/>
          <w:color w:val="000000"/>
        </w:rPr>
        <w:t>case, at p. 1039, said: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get the benefit of the limitation expressed in s. 60 the appellants must shew that the present suit is one for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‘indemnity for damages sustained by reason of the railway or the operations of the company’. Indemnity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obviously means indemnity to the plaintiff in the suit, in respect of wrong done to the plaintiff and damages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sustained by him owing to the railway or the operations of the company.”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To get the benefit of the limitation expressed in the Public Authorities Protection Act 1893, on the other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hand, a defendant in a similar action must show not that the suit is one for indemnity for damages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sustained by the plaintiff in respect of wrong done to the plaintiff but that it is an action in respect of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neglect or default in the execution by the defendant of a duty or authority.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Dunedin, in the </w:t>
      </w:r>
      <w:r>
        <w:rPr>
          <w:rFonts w:ascii="Times New Roman" w:hAnsi="Times New Roman" w:cs="Times New Roman"/>
          <w:i/>
          <w:iCs/>
          <w:color w:val="000000"/>
        </w:rPr>
        <w:t xml:space="preserve">Gentile </w:t>
      </w:r>
      <w:r>
        <w:rPr>
          <w:rFonts w:ascii="Times New Roman" w:hAnsi="Times New Roman" w:cs="Times New Roman"/>
          <w:color w:val="000000"/>
        </w:rPr>
        <w:t>case, quoted with approval earlier dicta to the effect that Lord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Campbell’s Act gave to the </w:t>
      </w:r>
      <w:proofErr w:type="spellStart"/>
      <w:r>
        <w:rPr>
          <w:rFonts w:ascii="Times New Roman" w:hAnsi="Times New Roman" w:cs="Times New Roman"/>
          <w:color w:val="000000"/>
        </w:rPr>
        <w:t>dependants</w:t>
      </w:r>
      <w:proofErr w:type="spellEnd"/>
      <w:r>
        <w:rPr>
          <w:rFonts w:ascii="Times New Roman" w:hAnsi="Times New Roman" w:cs="Times New Roman"/>
          <w:color w:val="000000"/>
        </w:rPr>
        <w:t xml:space="preserve"> of deceased an entirely new cause of action, in particular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at p. 1040: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“And, finally,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Seward v. Vera-Cruz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Owners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Lord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Selborne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L.C. said: ‘Lord Campbell’s Act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gives a new cause of action clearly, and does not merely remove the operation of the maxim “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actio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personalis</w:t>
      </w:r>
      <w:proofErr w:type="spellEnd"/>
      <w:r w:rsidR="00840CC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moritur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cum persona</w:t>
      </w:r>
      <w:r>
        <w:rPr>
          <w:rFonts w:ascii="Times New Roman" w:hAnsi="Times New Roman" w:cs="Times New Roman"/>
          <w:color w:val="000000"/>
          <w:sz w:val="20"/>
          <w:szCs w:val="20"/>
        </w:rPr>
        <w:t>”, because the action is given in substance not to the person representing in point of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estate the deceased man, who would naturally represent him as to all his own rights of action which could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survive, but to his wife and children, no doubt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sueing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point of form in the name of his executor.’ And Lord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Blackburn said: ‘I think that when that Act is looked at it is plaint enough that if a person dies under the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mentioned, when he might have maintained an action if it had been for an injury to himself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he had survived, a totally new action is given against the person who would have been responsible to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deceased if the deceased had lived; an action which, as pointed out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Pym v. Great Northern Ry. Co</w:t>
      </w:r>
      <w:r>
        <w:rPr>
          <w:rFonts w:ascii="Times New Roman" w:hAnsi="Times New Roman" w:cs="Times New Roman"/>
          <w:color w:val="000000"/>
          <w:sz w:val="20"/>
          <w:szCs w:val="20"/>
        </w:rPr>
        <w:t>., is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new in its species, new in its quality, new in its principle, in every way new.”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Lord Dunedin concluded that a suit brought under the provisions of the Families Compensation Act of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British Columbia was not a suit for indemnity for damages or injury sustained by the plaintiff by reason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operations of the defendants. The Privy Council he said did not agree with the reasoning and result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Markey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Tolworth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Joint Isolation Hospital</w:t>
      </w:r>
      <w:r>
        <w:rPr>
          <w:rFonts w:ascii="Times New Roman" w:hAnsi="Times New Roman" w:cs="Times New Roman"/>
          <w:color w:val="000000"/>
        </w:rPr>
        <w:t>, [1900] 2 Q.B. 454 which they considered directly in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conflict with the law as laid down in </w:t>
      </w:r>
      <w:r>
        <w:rPr>
          <w:rFonts w:ascii="Times New Roman" w:hAnsi="Times New Roman" w:cs="Times New Roman"/>
          <w:i/>
          <w:iCs/>
          <w:color w:val="000000"/>
        </w:rPr>
        <w:t xml:space="preserve">Seward v. Vera-Cruz </w:t>
      </w:r>
      <w:r>
        <w:rPr>
          <w:rFonts w:ascii="Times New Roman" w:hAnsi="Times New Roman" w:cs="Times New Roman"/>
          <w:color w:val="000000"/>
        </w:rPr>
        <w:t>(1884), 10 A.C. 59.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the </w:t>
      </w:r>
      <w:r>
        <w:rPr>
          <w:rFonts w:ascii="Times New Roman" w:hAnsi="Times New Roman" w:cs="Times New Roman"/>
          <w:i/>
          <w:iCs/>
          <w:color w:val="000000"/>
        </w:rPr>
        <w:t xml:space="preserve">Vera Cruz </w:t>
      </w:r>
      <w:r>
        <w:rPr>
          <w:rFonts w:ascii="Times New Roman" w:hAnsi="Times New Roman" w:cs="Times New Roman"/>
          <w:color w:val="000000"/>
        </w:rPr>
        <w:t xml:space="preserve">case was cited in the course of the argument in </w:t>
      </w:r>
      <w:r>
        <w:rPr>
          <w:rFonts w:ascii="Times New Roman" w:hAnsi="Times New Roman" w:cs="Times New Roman"/>
          <w:i/>
          <w:iCs/>
          <w:color w:val="000000"/>
        </w:rPr>
        <w:t xml:space="preserve">Markey’s </w:t>
      </w:r>
      <w:r>
        <w:rPr>
          <w:rFonts w:ascii="Times New Roman" w:hAnsi="Times New Roman" w:cs="Times New Roman"/>
          <w:color w:val="000000"/>
        </w:rPr>
        <w:t>case, Darling, J.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proper construction of the Act is that there has been an injury done to the deceased and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 the remedy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he cannot himself exercise is given to his widow.”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apparently with this failure to accept the view that Lord Campbell’s Act gave a new cause of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grounded on the injury suffered in consequence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death that the Privy Council disagreed. They were not concerned with and did not consider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objects and the drafting of the Public Authorities Protection Act 1893.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were fully considered by the Irish Courts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Gawley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Belfast Corporation</w:t>
      </w:r>
      <w:r>
        <w:rPr>
          <w:rFonts w:ascii="Times New Roman" w:hAnsi="Times New Roman" w:cs="Times New Roman"/>
          <w:color w:val="000000"/>
        </w:rPr>
        <w:t>, [1908] 2 I.R. 34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it was held that the Public Authorities Protection Act 1893, applied to an action under the Fatal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Accidents Act 1846. The report is not available here and I quote from the judgment of </w:t>
      </w: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>, J. in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Venn v. Tedesco</w:t>
      </w:r>
      <w:r>
        <w:rPr>
          <w:rFonts w:ascii="Times New Roman" w:hAnsi="Times New Roman" w:cs="Times New Roman"/>
          <w:color w:val="000000"/>
        </w:rPr>
        <w:t>, at p. 230–231: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now refer to the important case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Gawley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Belfast Corporation</w:t>
      </w:r>
      <w:r>
        <w:rPr>
          <w:rFonts w:ascii="Times New Roman" w:hAnsi="Times New Roman" w:cs="Times New Roman"/>
          <w:color w:val="000000"/>
          <w:sz w:val="20"/>
          <w:szCs w:val="20"/>
        </w:rPr>
        <w:t>, where an action was brought by a widow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Lord Campbell’s Act. The facts were these. Her husband was injured on June 13, 1906. He brought an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against the Belfast Corporation on July 30th of that year. He died on February 28, 1907. His widow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then brought her action in April, 1907. The defendants pleaded that her action had not been brought within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six months from the alleged act of negligence, and that it was therefore barred by the Public Authorities</w:t>
      </w:r>
    </w:p>
    <w:p w:rsidR="00072997" w:rsidRDefault="00072997" w:rsidP="00840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Protection Act, 1893. The point was argued first before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Palles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C.B. (a most weighty Irish judge) and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Andrews, J. They held that the defendants’ plea was valid, and that the action failed.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 then went to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of Appeal, and the question was considered by the Lord Chancellor of Ireland (Sir Samuel Walker)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FitzGibbon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Holmes, L.JJ. That Court unhesitatingly and unanimously upheld the decision of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Palles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C.B. and Andrews, J. The keynote of the judgment is shown by a sentence in the Lord Chancellor’s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when he says: ‘The policy of the Act of 1893 is to protect public bodies from the consequences of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torts committed by them after six months have passed.’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FitzGibbon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L.J. said: ‘[Time] was running against the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injured man in his lifetime, and it ran on against his personal representative after his death’; and Holmes L.J.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said: ‘The effect of [the Act of 1893] is in my opinion to strike out the proviso as to twelve months after the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death in [Lord Campbell’s Act], and to substitute for it six months after the act, neglect, or default.’“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Williams v. Mersey Docks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Board</w:t>
      </w:r>
      <w:r>
        <w:rPr>
          <w:rFonts w:ascii="Times New Roman" w:hAnsi="Times New Roman" w:cs="Times New Roman"/>
          <w:color w:val="000000"/>
        </w:rPr>
        <w:t>, [1905] 1 K.B. 804 an action was brought under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Fatal Accidents Act 1846, following the death of the deceased which occurred two years after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from which it resulted. Matthew, L.J. at p. 807 said: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this case no action was brought by the deceased man in respect of his injuries, and the present action is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brought by his widow after the lapse of a period much longer than six months after the act, neglect, or default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complained of in the action. It appears to me clear, having regard to the provisions of the Public Authorities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Protection Act, 1893, that the action is not maintainable. We have been referred to a long series of decisions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subject, which deal with the effect of the Act of 1846 upon cases of a similar kind. It has been pointed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 over and over again that the test of the right to sue under the Act is whether an action could have been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maintained by the deceased in respect of his injuries. We are asked now to discard those authorities. I see no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 for doing so.”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Cozens-Hardy, L.J. after quoting the dictum of Lord Blackburn in the </w:t>
      </w:r>
      <w:r>
        <w:rPr>
          <w:rFonts w:ascii="Times New Roman" w:hAnsi="Times New Roman" w:cs="Times New Roman"/>
          <w:i/>
          <w:iCs/>
          <w:color w:val="000000"/>
        </w:rPr>
        <w:t xml:space="preserve">Vera Cruz </w:t>
      </w:r>
      <w:r>
        <w:rPr>
          <w:rFonts w:ascii="Times New Roman" w:hAnsi="Times New Roman" w:cs="Times New Roman"/>
          <w:color w:val="000000"/>
        </w:rPr>
        <w:t>case said: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present case the deceased could not at the date of his death, or at any time after the lapse of six months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his injury, have maintained an action in respect of that injury against the defendants; and therefore his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representative cannot maintain this action.”</w:t>
      </w:r>
      <w:r w:rsidR="00840CC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That case is not I think distinguishable from the instant case by the fact that the deceased in that case had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opportunity to bring an action before his death.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Dunedin it may be observed referred briefly in the </w:t>
      </w:r>
      <w:r>
        <w:rPr>
          <w:rFonts w:ascii="Times New Roman" w:hAnsi="Times New Roman" w:cs="Times New Roman"/>
          <w:i/>
          <w:iCs/>
          <w:color w:val="000000"/>
        </w:rPr>
        <w:t xml:space="preserve">Gentile </w:t>
      </w:r>
      <w:r>
        <w:rPr>
          <w:rFonts w:ascii="Times New Roman" w:hAnsi="Times New Roman" w:cs="Times New Roman"/>
          <w:color w:val="000000"/>
        </w:rPr>
        <w:t xml:space="preserve">case to the decision in </w:t>
      </w:r>
      <w:r>
        <w:rPr>
          <w:rFonts w:ascii="Times New Roman" w:hAnsi="Times New Roman" w:cs="Times New Roman"/>
          <w:i/>
          <w:iCs/>
          <w:color w:val="000000"/>
        </w:rPr>
        <w:t>Williams v.</w:t>
      </w:r>
      <w:r w:rsidR="00840CC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Mersey Docks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Board </w:t>
      </w:r>
      <w:r>
        <w:rPr>
          <w:rFonts w:ascii="Times New Roman" w:hAnsi="Times New Roman" w:cs="Times New Roman"/>
          <w:color w:val="000000"/>
        </w:rPr>
        <w:t>and said it was rightly decided.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with the greatest respect to </w:t>
      </w:r>
      <w:proofErr w:type="spellStart"/>
      <w:r>
        <w:rPr>
          <w:rFonts w:ascii="Times New Roman" w:hAnsi="Times New Roman" w:cs="Times New Roman"/>
          <w:color w:val="000000"/>
        </w:rPr>
        <w:t>McCardie</w:t>
      </w:r>
      <w:proofErr w:type="spellEnd"/>
      <w:r>
        <w:rPr>
          <w:rFonts w:ascii="Times New Roman" w:hAnsi="Times New Roman" w:cs="Times New Roman"/>
          <w:color w:val="000000"/>
        </w:rPr>
        <w:t>, J. unable to follow his decision that the Public Authorities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Protection Act 1893 is inapplicable to proceedings under the </w:t>
      </w:r>
      <w:proofErr w:type="gramStart"/>
      <w:r>
        <w:rPr>
          <w:rFonts w:ascii="Times New Roman" w:hAnsi="Times New Roman" w:cs="Times New Roman"/>
          <w:color w:val="000000"/>
        </w:rPr>
        <w:t>Fatal</w:t>
      </w:r>
      <w:proofErr w:type="gramEnd"/>
      <w:r>
        <w:rPr>
          <w:rFonts w:ascii="Times New Roman" w:hAnsi="Times New Roman" w:cs="Times New Roman"/>
          <w:color w:val="000000"/>
        </w:rPr>
        <w:t xml:space="preserve"> accidents Act 1846.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Public Officers Protection Act was an “Act to provide for the protection of persons acting in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of public duties”.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action, prosecution or other proceeding against any person in respect of any alleged neglect or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in the execution of any public duty or authority had to be commenced within six months of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neglect or default complained of. An action under the Fatal Accidents Act although grounded on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injury suffered by the family of the deceased resulting from his death as distinct from the injury suffered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deceased himself is nevertheless I think an action in respect of an alleged neglect or default and if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neglect or default occurred in the execution by the defendant of a public duty or authority and the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was not commenced within the limitation period he was entitled to plead the Public Officers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Act.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expression “or in the case of a continuance of injury or damage, within three months next after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ceasing thereof” calls for brief consideration.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suit was not commenced within six months of the neglect or default complained of and in so far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is based on the allegation that the second defendant was a public officer in the execution of a public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it cannot be maintained.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however there is an alternative claim against the second defendant I do not order the dismissal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suit.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order the name of the Attorney-General, the first defendant, to be struck out. The plaintiff will pay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the first defendant.</w:t>
      </w:r>
      <w:r w:rsidR="00840CC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the plaintiffs: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Mutinda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Kivuitu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Co</w:t>
      </w:r>
      <w:r>
        <w:rPr>
          <w:rFonts w:ascii="Times New Roman" w:hAnsi="Times New Roman" w:cs="Times New Roman"/>
          <w:color w:val="000000"/>
        </w:rPr>
        <w:t>, Nairobi)</w:t>
      </w:r>
    </w:p>
    <w:p w:rsidR="00072997" w:rsidRDefault="00072997" w:rsidP="00072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defendant:</w:t>
      </w:r>
    </w:p>
    <w:p w:rsidR="00E43AAB" w:rsidRDefault="00072997" w:rsidP="00072997">
      <w:r>
        <w:rPr>
          <w:rFonts w:ascii="Times New Roman" w:hAnsi="Times New Roman" w:cs="Times New Roman"/>
          <w:i/>
          <w:iCs/>
          <w:color w:val="000000"/>
        </w:rPr>
        <w:t xml:space="preserve">PK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Mureithi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97"/>
    <w:rsid w:val="00072997"/>
    <w:rsid w:val="00840CC6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873A-6A5D-45AA-B0FA-4FB346B3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2018-07-06T12:52:00Z</dcterms:created>
  <dcterms:modified xsi:type="dcterms:W3CDTF">2018-07-13T08:02:00Z</dcterms:modified>
</cp:coreProperties>
</file>