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Malde and another v Gichugu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December 1974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20/1974 (1/75)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Spry Ag P, Law Ag V-P and Musoke JA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Muli, J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Document – Receipt signed on list – Proved by signatory of receipt – Document proved.</w:t>
      </w:r>
    </w:p>
    <w:p w:rsidR="00304099" w:rsidRDefault="00762F8E" w:rsidP="00762F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62F8E" w:rsidRDefault="00304099" w:rsidP="00762F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Spry Ag P: </w:t>
      </w:r>
      <w:r>
        <w:rPr>
          <w:rFonts w:ascii="Times New Roman" w:hAnsi="Times New Roman" w:cs="Times New Roman"/>
          <w:color w:val="000000"/>
        </w:rPr>
        <w:t>The appellants, who were the plaintiffs in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Court, are a firm of transport agents. The respondent carries on business as a transporter. The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engaged the respondent to transport one hundred and two packages belonging to various of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customers from Mombasa to Nairobi and it was part of the arrangement that the respondent’s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would deliver the packages to those of the consignees who were resident in Nairobi. The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complained that two of their customers, who should have received four packages each, only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received one each. They said that they paid their customers the value of the goods not delivered and they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to be entitled to be re-imbursed by the respondent. They claimed also a small sum representing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proportion of the transport charges attributable to the missing cases.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denied liability. He denied that any goods entrusted to him had been lost or, if they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had, he claimed that it was after the appellant’s agents in Nairobi had assumed responsibility for them.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system operated by the parties is that the appellants collected goods in their godown in Mombasa.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would then load them onto the respondent’s lorry, handing the driver, one Kimani Nganga, a list of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them, which he would sign by way of receipt, together with delivery orders made out by the senders of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goods and addressed to the consignees. When he reached Nairobi, the driver would go to the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appellants’ office and hand over the list and the delivery orders. The employees of the appellants would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out delivery notes from the delivery orders and hand these to the driver to take round with the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goods. It was common ground that there was no inspection of the goods by or on behalf of the appellants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their arrival in Nairobi and before their distribution. The issue that was most strongly contested in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was whether or not the distribution of the goods was supervised by the appellants’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servants. The appellants denied that they or any of their employees played any part in the distribution of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goods; the respondent, on the other hand, claimed that the distribution was conducted by an employee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appellants, named John, assisted by two labourers. On this issue, the trial judge found for the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appellants, and held that there was no such person as John and that no employee of the appellants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accompanied the driver when he distributed the goods.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found for the respondent, however, because he was not satisfied that it had been proved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missing packages had ever been put on the lorry. He rejected the list on which the appellants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and the delivery orders on the ground that the authors were not called, adding: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must say at once that what was written on them was of very little value and did not prove in any way that</w:t>
      </w:r>
      <w:r w:rsidR="00762F8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Kimani in fact received the ill-fated consignment at Mombasa.”</w:t>
      </w:r>
      <w:r w:rsidR="00762F8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think, with respect, that the judge seriously misdirected himself when he said that the author of the list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been called. It is true that the person who made out the list was not called but it was produced as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receipt and the person who signed it, the driver, was a witness for the defence. He acknowledged that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signed it and that he understood what it was and the purpose for which it was prepared. He was,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the “author” of the receipt and it is immaterial that he did not personally prepare the list.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accept that the giving of a receipt does not stop the giver from proving that he never received the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goods acknowledged, but it does, I think, put the onus on him to disprove receipt. In the present case, the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defence contained a statement that the respondent did not admit receipt of the goods but no specific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denial that they had been received. The driver, in his evidence, never asserted that the number of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packages loaded was less than that shown in the list: all he said was that he slept while his lorry was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loaded. The only other material witness, the turnboy, said that he did not count the packages while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being loaded. Indeed, the aim of the defence at the trial was to show that the goods must have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lost or stolen in Nairobi, while they were under the control of the appellants’ servants, and that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defence, as I have said, was rejected by the judge.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judge said, rightly, that the onus </w:t>
      </w:r>
      <w:r>
        <w:rPr>
          <w:rFonts w:ascii="Times New Roman" w:hAnsi="Times New Roman" w:cs="Times New Roman"/>
          <w:color w:val="000000"/>
        </w:rPr>
        <w:lastRenderedPageBreak/>
        <w:t>was on the appellants to prove that they delivered the goods to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at Mombasa but I think, with respect, that he was wrong when he went on to say that they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do so. I think the receipt was admissible evidence and, in the absence of any rebutting evidence,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sufficient evidence.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from his judgment that had he not held that the delivery of the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goods at Mombasa had not been proved, the judge would have found for the appellants. There was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which he accepted, that the missing packages were not delivered to the consignees and 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that all the packages remained in the charge of the respondent until the time when his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delivered them, or ought to have delivered them.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disputed that the respondent is liable, vicariously, for the fault of his servants.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evidence by the clerk who prepared the delivery notes that by mistake he omitted one item,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three packages, from each of the two delivery notes with which we are now concerned, when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copying the particulars from the delivery orders, and this may well have created the opportunity, and the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temptation, for theft, but it is unnecessary to make any finding on this. All that it is necessary to say is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respondent was a bailee who received goods, through his servants, and failed to account for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them.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reasons I have given, I would allow the appeal, with costs, set aside the judgment and decree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substitute an order giving judgment for the appellants for Shs. 7,842/85, with interest at 6 per cent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date of the filing of the suit. I would award the appellants their costs in the High Court, but I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award interest on the costs. As the other members of the Court agree, it is so ordered.</w:t>
      </w:r>
      <w:r w:rsidR="00762F8E">
        <w:rPr>
          <w:rFonts w:ascii="Times New Roman" w:hAnsi="Times New Roman" w:cs="Times New Roman"/>
          <w:color w:val="000000"/>
        </w:rPr>
        <w:t xml:space="preserve"> </w:t>
      </w:r>
    </w:p>
    <w:p w:rsidR="00762F8E" w:rsidRDefault="00304099" w:rsidP="00762F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I agree with the judgment prepared by the Acting President.</w:t>
      </w:r>
      <w:r w:rsidR="00762F8E">
        <w:rPr>
          <w:rFonts w:ascii="Times New Roman" w:hAnsi="Times New Roman" w:cs="Times New Roman"/>
          <w:color w:val="000000"/>
        </w:rPr>
        <w:t xml:space="preserve"> </w:t>
      </w:r>
    </w:p>
    <w:p w:rsidR="00304099" w:rsidRDefault="00304099" w:rsidP="00762F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Musoke JA: </w:t>
      </w:r>
      <w:r>
        <w:rPr>
          <w:rFonts w:ascii="Times New Roman" w:hAnsi="Times New Roman" w:cs="Times New Roman"/>
          <w:color w:val="000000"/>
        </w:rPr>
        <w:t>I agree with the judgment of the Acting President, which I have had the advantage of</w:t>
      </w:r>
      <w:r w:rsidR="00762F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reading in draft, and there is nothing which I can usefully add.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SC Gautama</w:t>
      </w:r>
    </w:p>
    <w:p w:rsidR="00304099" w:rsidRDefault="00304099" w:rsidP="0030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43AAB" w:rsidRDefault="00304099" w:rsidP="00304099"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99"/>
    <w:rsid w:val="00304099"/>
    <w:rsid w:val="00762F8E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F6629-F2C3-4ADF-AAC8-E61D9EF7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2018-07-06T12:30:00Z</dcterms:created>
  <dcterms:modified xsi:type="dcterms:W3CDTF">2018-07-13T08:04:00Z</dcterms:modified>
</cp:coreProperties>
</file>