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Mariaria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Matundura</w:t>
      </w:r>
      <w:proofErr w:type="spellEnd"/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March 2004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301/03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Time – Extension of time – Delay of three and a half months – Delay attributable to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applicant’s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previous counsel – Whether extension of time would be granted – Rule 4 Court of Appeal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Rules.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filed an application seeking extension of time to file a notice and record of appeal. It was</w:t>
      </w:r>
    </w:p>
    <w:p w:rsidR="003A6C92" w:rsidRDefault="003446FC" w:rsidP="003A6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claimed</w:t>
      </w:r>
      <w:proofErr w:type="gramEnd"/>
      <w:r>
        <w:rPr>
          <w:rFonts w:ascii="Times New Roman" w:hAnsi="Times New Roman" w:cs="Times New Roman"/>
          <w:color w:val="000000"/>
        </w:rPr>
        <w:t xml:space="preserve"> that the delay was due to missing documents which were not traced in time by the applicant’s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counsel. The respondent urged the Court not to accommodate the carelessness of counsel, and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argued that the abandonment of the prayer for extension of time to file notice of appeal rendered the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defective.</w:t>
      </w:r>
      <w:r w:rsidR="003A6C92">
        <w:rPr>
          <w:rFonts w:ascii="Times New Roman" w:hAnsi="Times New Roman" w:cs="Times New Roman"/>
          <w:color w:val="000000"/>
        </w:rPr>
        <w:t xml:space="preserve"> </w:t>
      </w:r>
    </w:p>
    <w:p w:rsidR="003A6C92" w:rsidRDefault="003A6C92" w:rsidP="003A6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3A6C92" w:rsidRDefault="003446FC" w:rsidP="003A6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decision whether or not to extend time for appealing is essentially discretionary. The Court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take into account (1) the length of the delay, (2) the reason for the delay, (3) the chances of the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succeeding if the application is granted, and (4) the degree of prejudice to the respondent if the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is granted.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three month delay without proper explanation like in the current case was inordinate. The litigant in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case can claim damages from his advocate. The application would therefore be dismissed with</w:t>
      </w:r>
      <w:r w:rsidR="003A6C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costs.</w:t>
      </w:r>
      <w:r w:rsidR="003A6C92">
        <w:rPr>
          <w:rFonts w:ascii="Times New Roman" w:hAnsi="Times New Roman" w:cs="Times New Roman"/>
          <w:color w:val="000000"/>
        </w:rPr>
        <w:t xml:space="preserve"> </w:t>
      </w:r>
    </w:p>
    <w:p w:rsidR="003446FC" w:rsidRDefault="003446FC" w:rsidP="003A6C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Mutiso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[1997] LLR 630 (CAK)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3446FC" w:rsidRDefault="003446FC" w:rsidP="003446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Omar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Transmotors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and another v Onyango </w:t>
      </w:r>
      <w:r>
        <w:rPr>
          <w:rFonts w:ascii="Times New Roman" w:hAnsi="Times New Roman" w:cs="Times New Roman"/>
          <w:color w:val="000000"/>
        </w:rPr>
        <w:t xml:space="preserve">[2002] LLR 3774 (CAK)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E97396" w:rsidRDefault="003446FC" w:rsidP="003446FC">
      <w:proofErr w:type="spellStart"/>
      <w:r>
        <w:rPr>
          <w:rFonts w:ascii="Times New Roman" w:hAnsi="Times New Roman" w:cs="Times New Roman"/>
          <w:i/>
          <w:iCs/>
          <w:color w:val="000000"/>
        </w:rPr>
        <w:t>Samken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Tussel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[1999] LLR 898 (CAK)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FC"/>
    <w:rsid w:val="003446FC"/>
    <w:rsid w:val="003A6C92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EE890-CD9D-4270-8082-7D1A11FF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2018-07-03T14:17:00Z</dcterms:created>
  <dcterms:modified xsi:type="dcterms:W3CDTF">2018-07-13T13:10:00Z</dcterms:modified>
</cp:coreProperties>
</file>