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35" w:rsidRDefault="00AD1235" w:rsidP="00AD1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Mariaria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Matundura</w:t>
      </w:r>
      <w:proofErr w:type="spellEnd"/>
    </w:p>
    <w:p w:rsidR="00AD1235" w:rsidRDefault="00AD1235" w:rsidP="00AD1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Kisumu</w:t>
      </w:r>
    </w:p>
    <w:p w:rsidR="00AD1235" w:rsidRDefault="00AD1235" w:rsidP="00AD1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26 March 2004</w:t>
      </w:r>
    </w:p>
    <w:p w:rsidR="00AD1235" w:rsidRDefault="00AD1235" w:rsidP="00AD1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301/03</w:t>
      </w:r>
    </w:p>
    <w:p w:rsidR="00AD1235" w:rsidRDefault="00AD1235" w:rsidP="00AD1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AD1235" w:rsidRDefault="00AD1235" w:rsidP="00AD1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D1235" w:rsidRDefault="00AD1235" w:rsidP="00AD1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AD1235" w:rsidRDefault="00AD1235" w:rsidP="00AD1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Time – Extension of time – Delay of three and a half months – Delay attributable to</w:t>
      </w:r>
    </w:p>
    <w:p w:rsidR="00AD1235" w:rsidRDefault="00AD1235" w:rsidP="00AD1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applicant’s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previous counsel – Whether extension of time would be granted – Rule 4 Court of Appeal</w:t>
      </w:r>
    </w:p>
    <w:p w:rsidR="00AD1235" w:rsidRDefault="00AD1235" w:rsidP="00AD1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Rules.</w:t>
      </w:r>
    </w:p>
    <w:p w:rsidR="00AD1235" w:rsidRDefault="008C64E3" w:rsidP="008C64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AD1235" w:rsidRDefault="00AD1235" w:rsidP="008C64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O’KUBASU JA: </w:t>
      </w:r>
      <w:r>
        <w:rPr>
          <w:rFonts w:ascii="Times New Roman" w:hAnsi="Times New Roman" w:cs="Times New Roman"/>
          <w:color w:val="000000"/>
        </w:rPr>
        <w:t>Before me is an application by way of notice of motion brought under rules 4 and 42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Court of Appeal Rules in which the applicants are seeking the following orders: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“1. That this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be pleased to extend the time within which the applicant may file the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notice of appeal and the record of appeal from the judgment and decree of the High Court of Kenya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given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PKK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Arap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Birech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the 26 October 2001.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Court be pleased to make reasonable provisions for the costs of the application.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application is based on the following grounds: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applicants filed the notice of appeal timeously and obtained a certificate of delay.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That due to some oversight the proceedings and certificate of delay were misplaced and when the same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were traced the period between then and filing the appeal was too short to file the appeal.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That further there are some necessary documents that were left in the record of the superior court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were not easily accessible on time.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That it is just and reasonable to grant the prayers sought”.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this application came up for hearing on 25 March 2004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Soire</w:t>
      </w:r>
      <w:proofErr w:type="spellEnd"/>
      <w:r>
        <w:rPr>
          <w:rFonts w:ascii="Times New Roman" w:hAnsi="Times New Roman" w:cs="Times New Roman"/>
          <w:color w:val="000000"/>
        </w:rPr>
        <w:t>, for the applicant, stated that he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abandoning the prayer for leave to file notice of appeal out of time. He then proceeded to explain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what led to this delay. The blame was put on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Masore</w:t>
      </w:r>
      <w:proofErr w:type="spellEnd"/>
      <w:r>
        <w:rPr>
          <w:rFonts w:ascii="Times New Roman" w:hAnsi="Times New Roman" w:cs="Times New Roman"/>
          <w:color w:val="000000"/>
        </w:rPr>
        <w:t xml:space="preserve"> the advocate who was handling this matter in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superior court and also prepared the papers for the intended appeal.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opposing this application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Onsongo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respondent started off by pointing out that the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was defective since the prayer of notice was abandoned. It was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Onsongo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view that the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 for the applicants exhibited a sloppy and careless manner in dealing with this matter.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rule 4 of this Court’s rules the Court has what has been referred to as unfettered discretion in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granting leave. However, this discretion must be exercised Judiciary. How is this discretion to be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exercised?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Mutiso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[1997] LLR 630 (CAK) this Court stated: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now well settled that the decision whether or not to extend time for appealing is essentially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discretionary. It is also well settled that in general the matters which this Court takes into account in deciding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whether to grant an extension of time are first the length of the delay, secondly the reason for the delay thirdly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(possibly) the chances of the appeal succeeding if the application is granted, and fourthly the degree of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prejudice to the respondent if the application is granted”.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Court then continued: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“Bearing these principles in mind and applying them to the instant case the appellant took almost three and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half months to file the present application after the appeal was struck out for the second time. In our judgment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respect to the period of delay of almost three and a half months, in any view of it is substantial. In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Samken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Ltd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Tussel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and another </w:t>
      </w:r>
      <w:r>
        <w:rPr>
          <w:rFonts w:ascii="Times New Roman" w:hAnsi="Times New Roman" w:cs="Times New Roman"/>
          <w:color w:val="000000"/>
          <w:sz w:val="20"/>
          <w:szCs w:val="20"/>
        </w:rPr>
        <w:t>[1999] LLR 898 (CAK) this Court found a delay of about three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months long”.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to be noted that the judgment of the superior court that the applicant with to challenge was delivered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26 October 2001. A notice of appeal was filed within the prescribed time. The intended appeal should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filed by the end of 2001 but the applicants obtained certificate of delay hence they had to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lodge the record of appeal by 11 October 2003.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was not done. The reason given for that failure was that there was oversight on the part of the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 and one of the applicants.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Omar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Transmotors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and another v Onyango </w:t>
      </w:r>
      <w:r>
        <w:rPr>
          <w:rFonts w:ascii="Times New Roman" w:hAnsi="Times New Roman" w:cs="Times New Roman"/>
          <w:color w:val="000000"/>
        </w:rPr>
        <w:t xml:space="preserve">[2002] LLR 3774 (CAK)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JA dealing with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application similar to this one had the following to say: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“Legal business can no longer be handled in such a sloppy and careless manner. Some clients must learn at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their cost that the consequences of careless and leisurely approach to work by the advocates must fall on their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shoulders”.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Onsongo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urged me to consider the current application in the light of what was stated in the foregoing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decision.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“</w:t>
      </w:r>
      <w:r>
        <w:rPr>
          <w:rFonts w:ascii="Times New Roman" w:hAnsi="Times New Roman" w:cs="Times New Roman"/>
          <w:i/>
          <w:iCs/>
          <w:color w:val="000000"/>
        </w:rPr>
        <w:t>The Due process of Law</w:t>
      </w:r>
      <w:r>
        <w:rPr>
          <w:rFonts w:ascii="Times New Roman" w:hAnsi="Times New Roman" w:cs="Times New Roman"/>
          <w:color w:val="000000"/>
        </w:rPr>
        <w:t>” 1980 London Butterworths at 93 Lord Denning said: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“Whenever a solicitor by his inexcusable delay deprives a client of his cause of action, his client can claim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damages against him, as for instance when a solicitor does not issue a writ in time, or serve it in time or does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renew it properly. We have seen I regret to say several such cases lately. Not a few are legally aided. In all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them the solicitors have, I believe, been quick to compensate the suffering client; or at least their insurers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have. So the wrong done by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this delay has been remedied as much as can be. I hope this will always be done”.</w:t>
      </w:r>
      <w:r w:rsidR="008C64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have given the background to this application as explained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Soire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taking into account the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principles to be applied in exercising my discretion under rule 4 of the rules I do not think the applicants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given sufficient explanation to warrant the Court’s discretion being exercised on their favour. It is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true that the Court has unfettered discretion but like all judicial discretion must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be exercised upon reason not capriciously. Even sympathy alone would not assist a party. Justice must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look both ways as the rules of procedure are meant to regulate administration of justice and they are not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meant to assist the indolent.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view of the foregoing I am satisfied that this is not a proper case in which to exercise my discretion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favour of the applicants. Consequently, this application fails and the same is dismissed with costs to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respondent.</w:t>
      </w:r>
      <w:r w:rsidR="008C64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applicant:</w:t>
      </w:r>
    </w:p>
    <w:p w:rsidR="00AD1235" w:rsidRDefault="00AD1235" w:rsidP="00AD1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Soire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JO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Soire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p w:rsidR="00AD1235" w:rsidRDefault="00AD1235" w:rsidP="00AD1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97396" w:rsidRDefault="00AD1235" w:rsidP="00AD1235">
      <w:r>
        <w:rPr>
          <w:rFonts w:ascii="Times New Roman" w:hAnsi="Times New Roman" w:cs="Times New Roman"/>
          <w:i/>
          <w:iCs/>
          <w:color w:val="000000"/>
        </w:rPr>
        <w:t xml:space="preserve">RB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Onsongo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Onsongo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235"/>
    <w:rsid w:val="008C64E3"/>
    <w:rsid w:val="00AD1235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4D516-C7A6-42D9-BD82-946CA760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2018-07-03T14:21:00Z</dcterms:created>
  <dcterms:modified xsi:type="dcterms:W3CDTF">2018-07-13T13:11:00Z</dcterms:modified>
</cp:coreProperties>
</file>