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Maritim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Kibaru</w:t>
      </w:r>
      <w:proofErr w:type="spellEnd"/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September 2005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362/04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Extension of time for lodging and serving appeal – Applicable principles – Rule 4 – Court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Appeal Rules.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moved court by way of notice of motion under rule 4 of the Court of Appeal Rules seeking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for the extension of the time limited for lodging and filing the notice and record of appeal from a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superior court. There had been a long delay of seventeen months. Soon after the judgment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superior court had been delivered the court file went missing and efforts were even made to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reconstruct a skeleton file. The applicant also changed advocates and the new firm of advocates did not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move with speed in putting things in place. These were the facts that led to the delay and on the strength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which the applicant sought the court’s exercise of discretion to extend the time as prayed.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In an application under rule 4 of the Court of Appeal Rules, a single judge of the Court of Appeal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called upon to exercise his unfettered discretion but like any other judicial discretion, that discretion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exercised with reason.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matters which are to be considered whether to grant an extension of time are, first, the length of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delay, the reason for the delay, the chances of the appeal succeeding and the degree of prejudice that</w:t>
      </w:r>
      <w:r w:rsidR="00AE27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may suffer if the application is granted.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Grindlays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International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Limited v Barbour </w:t>
      </w:r>
      <w:r>
        <w:rPr>
          <w:rFonts w:ascii="Times New Roman" w:hAnsi="Times New Roman" w:cs="Times New Roman"/>
          <w:color w:val="000000"/>
        </w:rPr>
        <w:t>Civil application number Nairobi 257 of 1995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Civil application number Nairobi 356 of 1996 (UR)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Mutiso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Nairobi 251 of 1997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Patel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Waweru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[2003] KLR 361 at paragraph 362-3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Trade Bank Limited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In Liquidation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v LZ Engineering Construction Limited and another </w:t>
      </w:r>
      <w:proofErr w:type="gramStart"/>
      <w:r>
        <w:rPr>
          <w:rFonts w:ascii="Times New Roman" w:hAnsi="Times New Roman" w:cs="Times New Roman"/>
          <w:color w:val="000000"/>
        </w:rPr>
        <w:t>Civil</w:t>
      </w:r>
      <w:proofErr w:type="gramEnd"/>
      <w:r w:rsidR="00AE27D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application number Nairobi 282 of 1998</w:t>
      </w:r>
    </w:p>
    <w:p w:rsidR="005A77BE" w:rsidRDefault="005A77BE" w:rsidP="005A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80578A" w:rsidRDefault="005A77BE" w:rsidP="005A77BE">
      <w:r>
        <w:rPr>
          <w:rFonts w:ascii="Times New Roman" w:hAnsi="Times New Roman" w:cs="Times New Roman"/>
          <w:i/>
          <w:iCs/>
          <w:color w:val="000000"/>
        </w:rPr>
        <w:t xml:space="preserve">Ratman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Camarasamy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[1964] 3 All ER 933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BE"/>
    <w:rsid w:val="005A77BE"/>
    <w:rsid w:val="0080578A"/>
    <w:rsid w:val="00AE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C12CE-34F7-4DD2-8DC5-53CBB3AF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2018-07-04T19:26:00Z</dcterms:created>
  <dcterms:modified xsi:type="dcterms:W3CDTF">2018-07-13T08:06:00Z</dcterms:modified>
</cp:coreProperties>
</file>