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CBD" w:rsidRDefault="00DA2CBD" w:rsidP="00DA2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Maritim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Kibaru</w:t>
      </w:r>
      <w:proofErr w:type="spellEnd"/>
    </w:p>
    <w:p w:rsidR="00DA2CBD" w:rsidRDefault="00DA2CBD" w:rsidP="00DA2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Court of Appeal of Kenya at </w:t>
      </w:r>
      <w:proofErr w:type="spellStart"/>
      <w:r>
        <w:rPr>
          <w:rFonts w:ascii="Times New Roman" w:hAnsi="Times New Roman" w:cs="Times New Roman"/>
          <w:color w:val="000000"/>
        </w:rPr>
        <w:t>Nakuru</w:t>
      </w:r>
      <w:proofErr w:type="spellEnd"/>
    </w:p>
    <w:p w:rsidR="00DA2CBD" w:rsidRDefault="00DA2CBD" w:rsidP="00DA2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30 September 2005</w:t>
      </w:r>
    </w:p>
    <w:p w:rsidR="00DA2CBD" w:rsidRDefault="00DA2CBD" w:rsidP="00DA2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362/04</w:t>
      </w:r>
    </w:p>
    <w:p w:rsidR="00DA2CBD" w:rsidRDefault="00DA2CBD" w:rsidP="00DA2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JA</w:t>
      </w:r>
    </w:p>
    <w:p w:rsidR="00DA2CBD" w:rsidRDefault="00DA2CBD" w:rsidP="00DA2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DA2CBD" w:rsidRDefault="00DA2CBD" w:rsidP="00DA2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Appeal – Extension of time for lodging and serving appeal – Applicable principles – Rule 4 – Court</w:t>
      </w:r>
    </w:p>
    <w:p w:rsidR="00DA2CBD" w:rsidRDefault="00DA2CBD" w:rsidP="00DA2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of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Appeal Rules.</w:t>
      </w:r>
    </w:p>
    <w:p w:rsidR="00DA2CBD" w:rsidRDefault="00591177" w:rsidP="005911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591177" w:rsidRDefault="00DA2CBD" w:rsidP="005911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O’Kubasu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JA: </w:t>
      </w:r>
      <w:r>
        <w:rPr>
          <w:rFonts w:ascii="Times New Roman" w:hAnsi="Times New Roman" w:cs="Times New Roman"/>
          <w:color w:val="000000"/>
        </w:rPr>
        <w:t>This is an application, by way of notice of motion, stated to have been brought under</w:t>
      </w:r>
      <w:r w:rsidR="005911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“rules 4, 42, 74 and 76 of the Court of Appeal Rules” in which the applicant, Simon </w:t>
      </w:r>
      <w:proofErr w:type="spellStart"/>
      <w:r>
        <w:rPr>
          <w:rFonts w:ascii="Times New Roman" w:hAnsi="Times New Roman" w:cs="Times New Roman"/>
          <w:color w:val="000000"/>
        </w:rPr>
        <w:t>Towett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Maritim</w:t>
      </w:r>
      <w:proofErr w:type="spellEnd"/>
      <w:r>
        <w:rPr>
          <w:rFonts w:ascii="Times New Roman" w:hAnsi="Times New Roman" w:cs="Times New Roman"/>
          <w:color w:val="000000"/>
        </w:rPr>
        <w:t>, is</w:t>
      </w:r>
      <w:r w:rsidR="005911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seeking the following orders:</w:t>
      </w:r>
      <w:r w:rsidR="00591177">
        <w:rPr>
          <w:rFonts w:ascii="Times New Roman" w:hAnsi="Times New Roman" w:cs="Times New Roman"/>
          <w:color w:val="000000"/>
        </w:rPr>
        <w:t xml:space="preserve"> </w:t>
      </w:r>
    </w:p>
    <w:p w:rsidR="00591177" w:rsidRDefault="00DA2CBD" w:rsidP="005911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“1. That time within which to lodge and serve notice and record of appeal from the decision of the</w:t>
      </w:r>
      <w:r w:rsidR="005911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superior court,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Nakuru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High Court civil case number 253 of 1996, be extended as this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 w:rsidR="005911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 may deem fit.</w:t>
      </w:r>
      <w:r w:rsidR="005911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DA2CBD" w:rsidRDefault="00DA2CBD" w:rsidP="005911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proofErr w:type="gramStart"/>
      <w:r w:rsidR="00591177"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costs of and incidental to this application abide the result of the intended appeal.”</w:t>
      </w:r>
      <w:r w:rsidR="005911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application is based on various grounds stated therein and on the applicant’s affidavit running into</w:t>
      </w:r>
      <w:r w:rsidR="005911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 paragraphs in which the applicant sets out the reasons why there was a delay in filing the notice of</w:t>
      </w:r>
      <w:r w:rsidR="005911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and the record of appeal. There is then a long replying affidavit of 32 paragraphs sworn by the</w:t>
      </w:r>
      <w:r w:rsidR="005911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respondent, </w:t>
      </w:r>
      <w:proofErr w:type="spellStart"/>
      <w:r>
        <w:rPr>
          <w:rFonts w:ascii="Times New Roman" w:hAnsi="Times New Roman" w:cs="Times New Roman"/>
          <w:color w:val="000000"/>
        </w:rPr>
        <w:t>Jotham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Muiruri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Kibaru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5911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application was argued with considerable force by both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Oduor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the applicant, and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59117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Kahiga</w:t>
      </w:r>
      <w:proofErr w:type="spellEnd"/>
      <w:r>
        <w:rPr>
          <w:rFonts w:ascii="Times New Roman" w:hAnsi="Times New Roman" w:cs="Times New Roman"/>
          <w:color w:val="000000"/>
        </w:rPr>
        <w:t>, for the respondent.</w:t>
      </w:r>
      <w:r w:rsidR="005911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material placed before me, it would appear that there can be no dispute that there was a long</w:t>
      </w:r>
      <w:r w:rsidR="005911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delay, of about seventeen (17) months. It is also admitted that soon after the judgment of the superior</w:t>
      </w:r>
      <w:r w:rsidR="005911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was delivered the court file went missing. Efforts were made to reconstruct a skeleton file. The</w:t>
      </w:r>
      <w:r w:rsidR="005911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 changed his advocates and the new firm of advocates did not move with speed in putting things</w:t>
      </w:r>
      <w:r w:rsidR="005911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into place. All this contributed to the delay in taking essential steps. Each counsel put in a number of</w:t>
      </w:r>
      <w:r w:rsidR="005911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authorities in support of his respective position in this application.</w:t>
      </w:r>
      <w:r w:rsidR="005911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now settled that in an application under rule 4 of this Court’s Rules, a single judge of this Court is</w:t>
      </w:r>
      <w:r w:rsidR="005911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called upon to exercise his unfettered discretion but like any other judicial discretion that discretion must</w:t>
      </w:r>
      <w:r w:rsidR="005911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exercised with reason. The matters which are to be considered whether to grant an extension of time,</w:t>
      </w:r>
      <w:r w:rsidR="005911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first the length of the delay, the reason for the delay, the chances of the appeal succeeding and lastly</w:t>
      </w:r>
      <w:r w:rsidR="005911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degree of prejudice to the respondent if the application is granted.</w:t>
      </w:r>
      <w:r w:rsidR="005911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Patel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Waweru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</w:t>
      </w:r>
      <w:r>
        <w:rPr>
          <w:rFonts w:ascii="Times New Roman" w:hAnsi="Times New Roman" w:cs="Times New Roman"/>
          <w:color w:val="000000"/>
        </w:rPr>
        <w:t>[2003] KLR 361 at paragraph 362-3</w:t>
      </w:r>
      <w:proofErr w:type="gramStart"/>
      <w:r>
        <w:rPr>
          <w:rFonts w:ascii="Times New Roman" w:hAnsi="Times New Roman" w:cs="Times New Roman"/>
          <w:color w:val="000000"/>
        </w:rPr>
        <w:t>,this</w:t>
      </w:r>
      <w:proofErr w:type="gramEnd"/>
      <w:r>
        <w:rPr>
          <w:rFonts w:ascii="Times New Roman" w:hAnsi="Times New Roman" w:cs="Times New Roman"/>
          <w:color w:val="000000"/>
        </w:rPr>
        <w:t xml:space="preserve"> Court had the following to say</w:t>
      </w:r>
      <w:r w:rsidR="005911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respect of rule 4 of this Court’s rules:</w:t>
      </w:r>
      <w:r w:rsidR="005911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“This is a matter in which the learned single Judge was called upon to exercise his unfettered discretion under</w:t>
      </w:r>
      <w:r w:rsidR="005911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rule 4 of the Rules of this Court. All that the applicant was required to do was to place sufficient material</w:t>
      </w:r>
      <w:r w:rsidR="005911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before the learned single Judge explaining the reason for what was clearly an inordinate delay. How does a</w:t>
      </w:r>
      <w:r w:rsidR="005911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single judge exercise his discretion? 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Leo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Mutiso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Mwangi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Civil application number Nairobi 251 of 1997</w:t>
      </w:r>
      <w:r w:rsidR="005911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this Court stated:</w:t>
      </w:r>
      <w:r w:rsidR="005911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‘It is now settled that the decision whether or not to extend the time for appealing is essentially</w:t>
      </w:r>
      <w:r w:rsidR="005911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discretionary. It is also well settled that in general the matters which this Court takes into account in</w:t>
      </w:r>
      <w:r w:rsidR="005911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deciding whether to grant an extension of time are first the length of the delay, secondly, the reason for</w:t>
      </w:r>
      <w:r w:rsidR="005911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delay, thirdly (possibly) the chances of the appeal succeeding if the application is granted and</w:t>
      </w:r>
      <w:r w:rsidR="005911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fourthly the degree of prejudice to the respondent if the application is granted.</w:t>
      </w:r>
      <w:r w:rsidR="00591177">
        <w:rPr>
          <w:rFonts w:ascii="Times New Roman" w:hAnsi="Times New Roman" w:cs="Times New Roman"/>
          <w:color w:val="000000"/>
          <w:sz w:val="20"/>
          <w:szCs w:val="20"/>
        </w:rPr>
        <w:t>’</w:t>
      </w:r>
      <w:bookmarkStart w:id="0" w:name="_GoBack"/>
      <w:bookmarkEnd w:id="0"/>
      <w:r w:rsidR="00591177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this reference, it has been shown that a delay of almost fifteen months was not explained to the satisfaction</w:t>
      </w:r>
      <w:r w:rsidR="005911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of the learned single Judge. We asked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Goswami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severally to explain to us the delay but he failed to do so.</w:t>
      </w:r>
      <w:r w:rsidR="005911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rules of the court must be complied with. As was said 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Ratman v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Camarasamy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[1964] 3 All ER 933 by</w:t>
      </w:r>
      <w:r w:rsidR="005911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Lord Guest at 935:</w:t>
      </w:r>
      <w:r w:rsidR="005911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rules of court must,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prima facie</w:t>
      </w:r>
      <w:r>
        <w:rPr>
          <w:rFonts w:ascii="Times New Roman" w:hAnsi="Times New Roman" w:cs="Times New Roman"/>
          <w:color w:val="000000"/>
          <w:sz w:val="20"/>
          <w:szCs w:val="20"/>
        </w:rPr>
        <w:t>, be obeyed and in order to justify a court in extending the time during</w:t>
      </w:r>
      <w:r w:rsidR="005911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 some step in procedure requires to be taken there must be material on which the court can exercise its</w:t>
      </w:r>
      <w:r w:rsidR="005911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discretion. If the law were otherwise, a party in breach would have an unqualified right to an extension of</w:t>
      </w:r>
      <w:r w:rsidR="005911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time which would defeat the purpose of the rules which is to provide a timetable for the conduct of litigation.</w:t>
      </w:r>
      <w:r w:rsidR="005911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above passage has been quoted with approval by this Court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Grindlays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Bank International (K) Limited</w:t>
      </w:r>
      <w:r w:rsidR="005911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v Barbour Civil application number Nairobi 257 of 1995 and Trade Bank Limited (In Liquidation) v LZ</w:t>
      </w:r>
      <w:r w:rsidR="005911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Engineering Construction Limited and another Civil application number Nairobi 282 of 1998.”</w:t>
      </w:r>
      <w:r w:rsidR="005911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foregoing is an appropriate summary of the authorities cited in this application.</w:t>
      </w:r>
      <w:r w:rsidR="005911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present application there was a delay of about seventeen (17) months. The applicant was not</w:t>
      </w:r>
      <w:r w:rsidR="005911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informed of the outcome of his case immediately the judgment was delivered by the superior court. The</w:t>
      </w:r>
      <w:r w:rsidR="005911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file of the superior court went missing. There was the issue of the applicant changing his advocates</w:t>
      </w:r>
      <w:r w:rsidR="005911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the new firm of advocates had to start the process </w:t>
      </w:r>
      <w:r>
        <w:rPr>
          <w:rFonts w:ascii="Times New Roman" w:hAnsi="Times New Roman" w:cs="Times New Roman"/>
          <w:color w:val="000000"/>
        </w:rPr>
        <w:lastRenderedPageBreak/>
        <w:t>of coming on record and, hence, had to make the</w:t>
      </w:r>
      <w:r w:rsidR="005911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necessary applications. The dispute herein relates to land, which as we are told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Oduor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</w:t>
      </w:r>
      <w:r w:rsidR="005911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applicant, is an emotive issue.</w:t>
      </w:r>
      <w:r w:rsidR="005911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Kiragu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Kiragu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>Civil application number Nairobi 356 of 1996 (UR) this Court said:</w:t>
      </w:r>
      <w:r w:rsidR="005911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“Lastly, we would like to observe that the discretion granted under rule 4 of the Rules of this Court to extend</w:t>
      </w:r>
      <w:r w:rsidR="005911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time for lodging an appeal, is, as is well known, unfettered and is only subject to it being granted on terms</w:t>
      </w:r>
      <w:r w:rsidR="005911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 the court may think just. Within this context, this Court has on several occasions, granted an extension of</w:t>
      </w:r>
      <w:r w:rsidR="005911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time, on the basis that an intended appeal is an arguable one and that it would therefore, be wrong to shut an</w:t>
      </w:r>
      <w:r w:rsidR="005911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applicant out of court and deny him the right of appeal unless it can fairly be said that his action was, in the</w:t>
      </w:r>
      <w:r w:rsidR="005911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circumstances, inexcusable and that his opponent was prejudiced by it.”</w:t>
      </w:r>
      <w:r w:rsidR="005911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have carefully considered the background to this matter and bearing in mind that the dispute has its</w:t>
      </w:r>
      <w:r w:rsidR="005911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origin in the infamous land clashes of 1992, I am of the view that this matter ought to be finally</w:t>
      </w:r>
      <w:r w:rsidR="005911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determined by the highest court in the land. For these reasons, this application is allowed and the</w:t>
      </w:r>
      <w:r w:rsidR="005911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 is ordered to file his notice of appeal within seven (7) days from the date thereof and the record</w:t>
      </w:r>
      <w:r w:rsidR="005911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appeal to be lodged and served within thirty (30) days from the date the notice of appeal is filed. Costs</w:t>
      </w:r>
      <w:r w:rsidR="005911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this application, which I assess at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5 000, to be paid to the respondent within 30 days from the</w:t>
      </w:r>
      <w:r w:rsidR="005911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date hereof and in default execution to issue.</w:t>
      </w:r>
    </w:p>
    <w:p w:rsidR="00DA2CBD" w:rsidRDefault="00DA2CBD" w:rsidP="00DA2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DA2CBD" w:rsidRDefault="00DA2CBD" w:rsidP="00DA2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Oduor</w:t>
      </w:r>
      <w:proofErr w:type="spellEnd"/>
    </w:p>
    <w:p w:rsidR="00DA2CBD" w:rsidRDefault="00DA2CBD" w:rsidP="00DA2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80578A" w:rsidRDefault="00DA2CBD" w:rsidP="00DA2CBD"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Kahiga</w:t>
      </w:r>
      <w:proofErr w:type="spellEnd"/>
    </w:p>
    <w:sectPr w:rsidR="0080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BD"/>
    <w:rsid w:val="00591177"/>
    <w:rsid w:val="0080578A"/>
    <w:rsid w:val="00DA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22536-02AD-4400-BEFC-50807BFF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2018-07-04T19:27:00Z</dcterms:created>
  <dcterms:modified xsi:type="dcterms:W3CDTF">2018-07-13T08:07:00Z</dcterms:modified>
</cp:coreProperties>
</file>