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Matembe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Constitutional Court of Uganda at Kampala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2005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1/05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Doctrine of separation of powers – Power of Judiciary to inquire into the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Executive and the Legislature – Unconstitutionality of a Bill of Parliament.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Temporary injunctions – Applicable principles in applications for temporary injunction.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E3F2D" w:rsidRDefault="00E8038C" w:rsidP="002E3F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applicants, all members of Parliament, filed this application seeking to restrain Parliament and its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committees from further consideration of the Constitutional (Amendment) Bill number 2 of 2005 until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 determination of Constitutional Petition number 2 of 2005 challenging the Bill’s constitutionality.</w:t>
      </w:r>
      <w:r w:rsidR="002E3F2D">
        <w:rPr>
          <w:rFonts w:ascii="Times New Roman" w:hAnsi="Times New Roman" w:cs="Times New Roman"/>
          <w:color w:val="000000"/>
        </w:rPr>
        <w:t xml:space="preserve"> </w:t>
      </w:r>
    </w:p>
    <w:p w:rsidR="002E3F2D" w:rsidRDefault="002E3F2D" w:rsidP="002E3F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E3F2D" w:rsidRDefault="00E8038C" w:rsidP="002E3F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In order to get a temporary injunction the applicant must show that there is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probability to succeed; the applicant might suffer irreparable injury if the temporary relief is not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granted; if the court is in doubt, it will decide the case on a balance of convenience. (</w:t>
      </w:r>
      <w:proofErr w:type="spellStart"/>
      <w:r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i/>
          <w:iCs/>
          <w:color w:val="000000"/>
        </w:rPr>
        <w:t>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Casman</w:t>
      </w:r>
      <w:proofErr w:type="spellEnd"/>
      <w:r w:rsidR="002E3F2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Brown and Co Ltd </w:t>
      </w:r>
      <w:r>
        <w:rPr>
          <w:rFonts w:ascii="Times New Roman" w:hAnsi="Times New Roman" w:cs="Times New Roman"/>
          <w:color w:val="000000"/>
        </w:rPr>
        <w:t>[1973] EA 358; U</w:t>
      </w:r>
      <w:r>
        <w:rPr>
          <w:rFonts w:ascii="Times New Roman" w:hAnsi="Times New Roman" w:cs="Times New Roman"/>
          <w:i/>
          <w:iCs/>
          <w:color w:val="000000"/>
        </w:rPr>
        <w:t xml:space="preserve">ganda Law Society and another v Attorney-General </w:t>
      </w:r>
      <w:r>
        <w:rPr>
          <w:rFonts w:ascii="Times New Roman" w:hAnsi="Times New Roman" w:cs="Times New Roman"/>
          <w:color w:val="000000"/>
        </w:rPr>
        <w:t>Constitutional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number 7 of 2003 applied).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doctrine of separation of powers is fundamental (</w:t>
      </w:r>
      <w:r>
        <w:rPr>
          <w:rFonts w:ascii="Times New Roman" w:hAnsi="Times New Roman" w:cs="Times New Roman"/>
          <w:i/>
          <w:iCs/>
          <w:color w:val="000000"/>
        </w:rPr>
        <w:t xml:space="preserve">Marbury v Madison </w:t>
      </w:r>
      <w:r>
        <w:rPr>
          <w:rFonts w:ascii="Times New Roman" w:hAnsi="Times New Roman" w:cs="Times New Roman"/>
          <w:color w:val="000000"/>
        </w:rPr>
        <w:t xml:space="preserve">1 Cr 137 [180]; </w:t>
      </w:r>
      <w:r>
        <w:rPr>
          <w:rFonts w:ascii="Times New Roman" w:hAnsi="Times New Roman" w:cs="Times New Roman"/>
          <w:i/>
          <w:iCs/>
          <w:color w:val="000000"/>
        </w:rPr>
        <w:t>Uganda v</w:t>
      </w:r>
      <w:r w:rsidR="002E3F2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Commissioner of Prisons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[1966] EA 514 followed).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this doctrine is not absolute. The Constitutional Court was established to guard the rights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freedoms of the individual against oppressive and unjust laws and acts and it must remain vigilant in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upholding the provisions of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 w:rsidR="002E3F2D">
        <w:rPr>
          <w:rFonts w:ascii="Times New Roman" w:hAnsi="Times New Roman" w:cs="Times New Roman"/>
          <w:color w:val="000080"/>
        </w:rPr>
        <w:t>t</w:t>
      </w:r>
      <w:r>
        <w:rPr>
          <w:rFonts w:ascii="Times New Roman" w:hAnsi="Times New Roman" w:cs="Times New Roman"/>
          <w:color w:val="000000"/>
        </w:rPr>
        <w:t>he Constitution. If an allegation is made against the Executive or the Legislature about the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unconstitutionality of their actions or omissions, the court is seized with jurisdiction to act.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Bill was tabled before Parliament and later to the Legal and Parliamentary Committee for its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consideration. Until the Committee submits the report it is difficult to say that Parliament has accepted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Bill. Hence, it is premature to gauge a breach of the Constitution on the part of Parliament.</w:t>
      </w:r>
      <w:r w:rsidR="002E3F2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  <w:r w:rsidR="002E3F2D">
        <w:rPr>
          <w:rFonts w:ascii="Times New Roman" w:hAnsi="Times New Roman" w:cs="Times New Roman"/>
          <w:color w:val="000000"/>
        </w:rPr>
        <w:t xml:space="preserve"> </w:t>
      </w:r>
    </w:p>
    <w:p w:rsidR="002E3F2D" w:rsidRDefault="002E3F2D" w:rsidP="002E3F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8038C" w:rsidRDefault="00E8038C" w:rsidP="002E3F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Major General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appeal number 1 of 1997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 Ltd </w:t>
      </w:r>
      <w:r>
        <w:rPr>
          <w:rFonts w:ascii="Times New Roman" w:hAnsi="Times New Roman" w:cs="Times New Roman"/>
          <w:color w:val="000000"/>
        </w:rPr>
        <w:t xml:space="preserve">[1973] EA 358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Marbury v Madison </w:t>
      </w:r>
      <w:r>
        <w:rPr>
          <w:rFonts w:ascii="Times New Roman" w:hAnsi="Times New Roman" w:cs="Times New Roman"/>
          <w:color w:val="000000"/>
        </w:rPr>
        <w:t xml:space="preserve">1 Cr 137 (180)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E8038C" w:rsidRDefault="00E8038C" w:rsidP="00E80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>
        <w:rPr>
          <w:rFonts w:ascii="Times New Roman" w:hAnsi="Times New Roman" w:cs="Times New Roman"/>
          <w:color w:val="000000"/>
        </w:rPr>
        <w:t xml:space="preserve">Constitutional application number 7 of 2003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366D10" w:rsidRDefault="00E8038C" w:rsidP="00E8038C">
      <w:r>
        <w:rPr>
          <w:rFonts w:ascii="Times New Roman" w:hAnsi="Times New Roman" w:cs="Times New Roman"/>
          <w:i/>
          <w:iCs/>
          <w:color w:val="000000"/>
        </w:rPr>
        <w:t xml:space="preserve">Uganda v Commissioner of Prisons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[1966] EA 514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8C"/>
    <w:rsid w:val="002E3F2D"/>
    <w:rsid w:val="00366D10"/>
    <w:rsid w:val="00E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4061E-4248-41E7-9FDB-D8563C66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2018-07-04T19:39:00Z</dcterms:created>
  <dcterms:modified xsi:type="dcterms:W3CDTF">2018-07-13T08:09:00Z</dcterms:modified>
</cp:coreProperties>
</file>