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Matembe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Attorney-General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Constitutional Court of Uganda at Kampala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2005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1/05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Engwau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Kavuma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Doctrine of separation of powers – Power of Judiciary to inquire into the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actions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the Executive and the Legislature – Unconstitutionality of a Bill of Parliament.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Temporary injunctions – Applicable principles in applications for temporary injunction.</w:t>
      </w:r>
    </w:p>
    <w:p w:rsidR="000D4C3F" w:rsidRDefault="007F435B" w:rsidP="007F43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Okello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Engwau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Kitumba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Byamugisha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Kavuma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The applicants, all members of the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Seventh Parliament, filed the instant application under the provisions of various rules as stated in the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body</w:t>
      </w:r>
      <w:proofErr w:type="gramEnd"/>
      <w:r>
        <w:rPr>
          <w:rFonts w:ascii="Times New Roman" w:hAnsi="Times New Roman" w:cs="Times New Roman"/>
          <w:color w:val="000000"/>
        </w:rPr>
        <w:t xml:space="preserve"> of the motion. They are seeking the following orders from this Court namely:</w:t>
      </w:r>
    </w:p>
    <w:p w:rsidR="000D4C3F" w:rsidRDefault="007F435B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P</w:t>
      </w:r>
      <w:r w:rsidR="000D4C3F">
        <w:rPr>
          <w:rFonts w:ascii="Times New Roman" w:hAnsi="Times New Roman" w:cs="Times New Roman"/>
          <w:color w:val="000000"/>
          <w:sz w:val="20"/>
          <w:szCs w:val="20"/>
        </w:rPr>
        <w:t>arliament and its committees be temporarily restrained from further consideration of Constitutional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(Amendment) Bill number 2 of 2005 till the final determination of Constitutional Petition number 2 of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2005 by the Constitutional Court.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costs of the application be provided for.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grounds that form the basis of the application are: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applicants have filed Constitutional Petition number 2 of 2005 challenging the constitutionality of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Constitution (Amendment) Bill number 2 of 2005 and rules 104 and 111 of the Rules of Procedure of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Parliament of Uganda and owing to the busy schedule of the court the petition has not been fixed for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hearing.</w:t>
      </w:r>
    </w:p>
    <w:p w:rsidR="000D4C3F" w:rsidRDefault="007F435B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U</w:t>
      </w:r>
      <w:r w:rsidR="000D4C3F">
        <w:rPr>
          <w:rFonts w:ascii="Times New Roman" w:hAnsi="Times New Roman" w:cs="Times New Roman"/>
          <w:color w:val="000000"/>
          <w:sz w:val="20"/>
          <w:szCs w:val="20"/>
        </w:rPr>
        <w:t>nless restrained by court, Parliament and its committees will proceed to consider and pass the bill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D4C3F">
        <w:rPr>
          <w:rFonts w:ascii="Times New Roman" w:hAnsi="Times New Roman" w:cs="Times New Roman"/>
          <w:color w:val="000000"/>
          <w:sz w:val="20"/>
          <w:szCs w:val="20"/>
        </w:rPr>
        <w:t>and have it subjected to resolutions of district councils and to a referendum before the disposal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D4C3F">
        <w:rPr>
          <w:rFonts w:ascii="Times New Roman" w:hAnsi="Times New Roman" w:cs="Times New Roman"/>
          <w:color w:val="000000"/>
          <w:sz w:val="20"/>
          <w:szCs w:val="20"/>
        </w:rPr>
        <w:t>applicants’ petition thereby rendering the relief sought nugatory.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I f the orders sought in this application are not granted the petition will be rendered nugatory and the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petitioners will be deprived of their right to access courts of law and to a speedy and fair adjudication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their rights.</w:t>
      </w:r>
    </w:p>
    <w:p w:rsidR="007F435B" w:rsidRDefault="000D4C3F" w:rsidP="007F4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grounds are supported by the affidavit of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Ben </w:t>
      </w:r>
      <w:proofErr w:type="spellStart"/>
      <w:r>
        <w:rPr>
          <w:rFonts w:ascii="Times New Roman" w:hAnsi="Times New Roman" w:cs="Times New Roman"/>
          <w:color w:val="000000"/>
        </w:rPr>
        <w:t>Wacha</w:t>
      </w:r>
      <w:proofErr w:type="spellEnd"/>
      <w:r>
        <w:rPr>
          <w:rFonts w:ascii="Times New Roman" w:hAnsi="Times New Roman" w:cs="Times New Roman"/>
          <w:color w:val="000000"/>
        </w:rPr>
        <w:t>, the second applicant.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opposed the application with an affidavit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sworn by Mike </w:t>
      </w:r>
      <w:proofErr w:type="spellStart"/>
      <w:r>
        <w:rPr>
          <w:rFonts w:ascii="Times New Roman" w:hAnsi="Times New Roman" w:cs="Times New Roman"/>
          <w:color w:val="000000"/>
        </w:rPr>
        <w:t>Chibita</w:t>
      </w:r>
      <w:proofErr w:type="spellEnd"/>
      <w:r>
        <w:rPr>
          <w:rFonts w:ascii="Times New Roman" w:hAnsi="Times New Roman" w:cs="Times New Roman"/>
          <w:color w:val="000000"/>
        </w:rPr>
        <w:t>, Principal State Attorney, in the chambers of the respondent.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the matter came before us for final disposal,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Walubiri</w:t>
      </w:r>
      <w:proofErr w:type="spellEnd"/>
      <w:r>
        <w:rPr>
          <w:rFonts w:ascii="Times New Roman" w:hAnsi="Times New Roman" w:cs="Times New Roman"/>
          <w:color w:val="000000"/>
        </w:rPr>
        <w:t>, learned Counsel for the applicants,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applicants have filed a petition that has not yet been fixed for hearing. In the petition,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allege in paragraph 4 thereof, that the act of the Minister of Justice and Constitutional Affairs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tabling the Bill and Parliament discussing the same which Bill combines proposed amendments to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specified in Articles 259(2), 260(2), and 261, is inconsistent with and contravenes Articles 91,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258, 259, 260, 261 and 262 of the Constitution. Learned counsel contended that in terms of Article 137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Constitution, the applicants have raised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that ought to be investigated by this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He pointed out that the applicants have alleged in paragraph 3 of the petition that rules 104 and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114 of the Parliament Rules of Procedure are inconsistent and contravene Articles 259(1), 260(1) 261(1)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therefore there is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 xml:space="preserve">case to be investigated by court. It was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Walubiri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that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Bill in as far as it proposes to amend, in an omnibus manner, several Articles of the Constitution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specific two third votes in Parliament and where necessary in district councils or referenda in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specific Article and subjecting the entire Bill to an omnibus vote in district and referenda, the Bill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contravenes and is inconsistent with Articles of the Constitution.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Tibaruha</w:t>
      </w:r>
      <w:proofErr w:type="spellEnd"/>
      <w:r>
        <w:rPr>
          <w:rFonts w:ascii="Times New Roman" w:hAnsi="Times New Roman" w:cs="Times New Roman"/>
          <w:color w:val="000000"/>
        </w:rPr>
        <w:t>, the learned Solicitor General, stated that the petition is misconceived on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grounds: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I t does not raise any legal issues for this Court to resolve. He contended that the petition is based on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 137(3) of the Constitution but it does not specify whether it is clause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or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and therefore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Article is not applicable. It was his submission that the Article provided for the challenge for an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of Parliament but does not provide for a challenge of a bill. He stated that a Bill, by definition, is a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legislative proposal which is submitted by the Executive to Parliament for possible passage into an Act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Parliament. He contended that a bill can be amended or even rejected by Parliament and therefore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application to challenge the unconstitutionality of the Bill is premature and therefore the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is speculative.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104 and 114 of the Rules of Parliament are not unconstitutional. He referred to Article 94 of the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that empowers Parliament to make its own rules. He claimed that the applicants are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influential members of Parliament who should use their influence on the Rules Committee to change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rules. He contended that the rules are not unconstitutional and should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be read together with other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rules of Parliament.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application itself,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Tibaruha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it is unconstitutional in that it seeks to prohibit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from carrying out its functions. He pointed out that under Article 79 Parliament is mandated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make laws for peace, order, development and good governance. He contended that the applicants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 be allowed to curtail the functions of Parliament which emanates from the Constitution. To do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would be against the letter and spirit of the Constitution.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view, the order being sought would be contrary to the doctrine of separation of powers. 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 that the functions and roles of the three arms of government are spelt out. He relied on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of the Supreme Court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Major General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number 1 of 1997 and in particular the judgement of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JSC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14. He complained that the applicants are seeking to use the Judiciary to interfere with the work of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Legislature.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principles applicable in applications of this nature, he submitted quite rightly, in our view, that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are settled. The court must be satisfied as follows: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is a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prima facie </w:t>
      </w:r>
      <w:r>
        <w:rPr>
          <w:rFonts w:ascii="Times New Roman" w:hAnsi="Times New Roman" w:cs="Times New Roman"/>
          <w:color w:val="000000"/>
          <w:sz w:val="20"/>
          <w:szCs w:val="20"/>
        </w:rPr>
        <w:t>case with a probability to succeed.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applicant might suffer irreparable injury if temporary relief is not granted.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I f court is in doubt, it will decide the case on a balance of convenience. He cited the case of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</w:t>
      </w:r>
      <w:r w:rsidR="007F435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Cassam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Brown and Co Ltd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[1973] EA 358 which was quoted with approval by this Court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Uganda</w:t>
      </w:r>
      <w:r w:rsidR="007F435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Law Society and another v Attorney-General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application number 7 of 2003.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contended that the conditions are inclusive rather than alternative. He contended that the applicants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must first demonstrate they have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success. Secondly, they must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they would suffer irreparable damage if the order sought was not granted. It is only when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is in doubt that it will decide the case on a balance of probability. He contended that the petition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no probability of success. He stated that the applicants’ view that a bill that combines amendments to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specified in Articles 259(2), 260(2) and 261(1) is unconstitutional is misconceived. According to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any bill to amend the Constitution must comply with Chapter 18, which provides two mandatory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requirements which Parliament must comply with namely:</w:t>
      </w:r>
      <w:r w:rsidR="007F435B">
        <w:rPr>
          <w:rFonts w:ascii="Times New Roman" w:hAnsi="Times New Roman" w:cs="Times New Roman"/>
          <w:color w:val="000000"/>
        </w:rPr>
        <w:t xml:space="preserve"> </w:t>
      </w:r>
    </w:p>
    <w:p w:rsidR="007F435B" w:rsidRDefault="000D4C3F" w:rsidP="007F4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must be a Bill for an Act of Parliament the sole purpose of which is to amend the Constitution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way of addition, variation or repeal any of the provision of the Constitution.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D4C3F" w:rsidRDefault="000D4C3F" w:rsidP="007F4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Act must be passed in accordance with the procedure laid down in Chapter 18.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Tibaruha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there is nothing in the Constitution which prohibits a Bill for an Act of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seeking to amend the Constitution from containing amendments to Articles, referred in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259, 260 and 261. He stated that the challenge to the Bill is misconceived because the different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will be handled individually as provided for in the Referendum and Other Provisions Act (1 of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2005).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pointed out that the rules of Parliament with regard to amendment of the Constitution would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important in the Committee of the whole House when considering each clause where simple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majority would be used.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balance of convenience, he submitted that the importance of the Bill to the whole country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couldn’t be </w:t>
      </w:r>
      <w:proofErr w:type="spellStart"/>
      <w:r>
        <w:rPr>
          <w:rFonts w:ascii="Times New Roman" w:hAnsi="Times New Roman" w:cs="Times New Roman"/>
          <w:color w:val="000000"/>
        </w:rPr>
        <w:t>overemphasised</w:t>
      </w:r>
      <w:proofErr w:type="spellEnd"/>
      <w:r>
        <w:rPr>
          <w:rFonts w:ascii="Times New Roman" w:hAnsi="Times New Roman" w:cs="Times New Roman"/>
          <w:color w:val="000000"/>
        </w:rPr>
        <w:t>. He invited us to take judicial notice of the constitutional review exercise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had begun and that the Bill is a culmination of that exercise. The applicants should not be allowed to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inconvenience the whole country by stopping Parliament from considering the Bill. He also stated that no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injunction can issue against Government. He relied on the decision of </w:t>
      </w:r>
      <w:r>
        <w:rPr>
          <w:rFonts w:ascii="Times New Roman" w:hAnsi="Times New Roman" w:cs="Times New Roman"/>
          <w:i/>
          <w:iCs/>
          <w:color w:val="000000"/>
        </w:rPr>
        <w:t>Attorney-General v Silver Springs</w:t>
      </w:r>
      <w:r w:rsidR="007F435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Hotel and others </w:t>
      </w:r>
      <w:r>
        <w:rPr>
          <w:rFonts w:ascii="Times New Roman" w:hAnsi="Times New Roman" w:cs="Times New Roman"/>
          <w:color w:val="000000"/>
        </w:rPr>
        <w:t>Civil application number 1 of 1989 (UR).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discretion,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Tibaruha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this is not the type of case where discretion should be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exercised in favour of the applicants. Parliament should not be interfered with. He invited us to dismiss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with costs.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Exercising his right of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Walubiri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stated that the decision of </w:t>
      </w:r>
      <w:r>
        <w:rPr>
          <w:rFonts w:ascii="Times New Roman" w:hAnsi="Times New Roman" w:cs="Times New Roman"/>
          <w:i/>
          <w:iCs/>
          <w:color w:val="000000"/>
        </w:rPr>
        <w:t>Silver Springs Hotel</w:t>
      </w:r>
      <w:r>
        <w:rPr>
          <w:rFonts w:ascii="Times New Roman" w:hAnsi="Times New Roman" w:cs="Times New Roman"/>
          <w:color w:val="000000"/>
        </w:rPr>
        <w:t>’s case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was rejected by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Rwanyarare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 w:rsidR="007F435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v Attorney-General, </w:t>
      </w:r>
      <w:r>
        <w:rPr>
          <w:rFonts w:ascii="Times New Roman" w:hAnsi="Times New Roman" w:cs="Times New Roman"/>
          <w:color w:val="000000"/>
        </w:rPr>
        <w:t>Constitutional application number 6 of 2002 because it was decided under a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constitutional dispensation. He stated that the circumstances of this case are closer to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Rwanyarare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application(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ibid</w:t>
      </w:r>
      <w:r>
        <w:rPr>
          <w:rFonts w:ascii="Times New Roman" w:hAnsi="Times New Roman" w:cs="Times New Roman"/>
          <w:color w:val="000000"/>
        </w:rPr>
        <w:t xml:space="preserve">) than the </w:t>
      </w:r>
      <w:r>
        <w:rPr>
          <w:rFonts w:ascii="Times New Roman" w:hAnsi="Times New Roman" w:cs="Times New Roman"/>
          <w:i/>
          <w:iCs/>
          <w:color w:val="000000"/>
        </w:rPr>
        <w:t xml:space="preserve">Uganda Law Society and another v Attorney-General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It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his contention that the framers of the Constitution were very clear as to how the Constitution is to be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amended and that there was a purpose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Commenting on the Referendum Act, counsel pointed out that the question to be answered in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 to the Act is not to ratify the Articles but the Bill itself.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considering the merits or demerits of the application, we would like to comment on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submissions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Tibaruha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that the doctrine of separation of powers does not allow us to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an injunction or any other restraining order against the Government and the Legislature. We think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observations made by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JSC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at 12 are very instructive. 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said: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rule appears to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be that the courts have no jurisdiction over matters which are within the constitutional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legal powers of the Legislature and the Executive. Even in cases, where courts feel obliged to intervene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review the legislative measures of the Legislature or administrative decisions of the Executive when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challenged on the grounds that the rights of individuals and freedoms of individuals are clearly threatened,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do so sparingly and with the greatest of reluctance.”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above observations were based on two cases, namely </w:t>
      </w:r>
      <w:r>
        <w:rPr>
          <w:rFonts w:ascii="Times New Roman" w:hAnsi="Times New Roman" w:cs="Times New Roman"/>
          <w:i/>
          <w:iCs/>
          <w:color w:val="000000"/>
        </w:rPr>
        <w:t xml:space="preserve">Marbury v Madison </w:t>
      </w:r>
      <w:r>
        <w:rPr>
          <w:rFonts w:ascii="Times New Roman" w:hAnsi="Times New Roman" w:cs="Times New Roman"/>
          <w:color w:val="000000"/>
        </w:rPr>
        <w:t>1 Cr 137(180) that was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cited with approval in </w:t>
      </w:r>
      <w:r>
        <w:rPr>
          <w:rFonts w:ascii="Times New Roman" w:hAnsi="Times New Roman" w:cs="Times New Roman"/>
          <w:i/>
          <w:iCs/>
          <w:color w:val="000000"/>
        </w:rPr>
        <w:t xml:space="preserve">Uganda v Commissioner of Prisons </w:t>
      </w:r>
      <w:r>
        <w:rPr>
          <w:rFonts w:ascii="Times New Roman" w:hAnsi="Times New Roman" w:cs="Times New Roman"/>
          <w:color w:val="000000"/>
        </w:rPr>
        <w:t xml:space="preserve">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[1966] EA 514, to the effect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courts should resist the temptation of inquiring into how the Executive or the Legislature perform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duties in matters where they have a discretion. In the same judgement at 14 the learned Judge said: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Constitution provides that the constitutional platform is to be shared between the three institutional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organs of Government whose functions and powers I have already described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). The Uganda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Constitution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these organs as the Parliament, the Executive and the Judiciary. It was not by accident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either that it created and described and empowered them in that order of enumeration. Each of them has its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field of operation with different characteristics and exclusivity and meant to exercise its powers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independently. The doctrine of separation of powers demands and ought to require that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unless there is the</w:t>
      </w:r>
      <w:r w:rsidR="007F435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clearest of cases </w:t>
      </w:r>
      <w:r>
        <w:rPr>
          <w:rFonts w:ascii="Times New Roman" w:hAnsi="Times New Roman" w:cs="Times New Roman"/>
          <w:color w:val="000000"/>
          <w:sz w:val="20"/>
          <w:szCs w:val="20"/>
        </w:rPr>
        <w:t>calling for intervention for purposes of determining the constitutionality and legality of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action or the protection of the liberty of the individual which is presently denied or imminently threatened, the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courts must refrain from entering the arena not assigned to them either by the Constitution or laws of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Uganda.” (Emphasis mine.)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rule like any other rule is not absolute. The Constitutional Court was established as the guardian of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rights and freedoms of the individual against oppressive and unjust laws and acts. It must remain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vigilant in upholding the provisions of the Constitution. Therefore if an allegation is made against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Executive or the Legislature about the unconstitutionality of their actions or omissions, this Court is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seized with jurisdiction to intervene.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matter now before us, it is being alleged in the petition that the act of the Minister of Justice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Constitutional Affairs in tabling an omnibus Bill before Parliament that combines proposed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amendments to Articles specified in Articles 259(2), 260(2) and 261 breaches the Constitution, are not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that fall in the province of political discretion. It is a constitutional matter touching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supremacy of the Constitution, as stated in Article 2(1). It (the Constitution) has a binding force on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authorities and persons in Uganda.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agree that Article 79 spells out the functions of Parliament. It subjects the Legislature to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Constitution. Parliament is charged with the duty of protecting it. The Article states as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Subject to the provisions of this Constitution, Parliament shall have power to make laws on any matter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peace, order, development and good governance of Uganda.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Except as provided in this Constitution, no person or body other than Parliament shall have power to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make provisions having the force of law in Uganda except under authority conferred by an Act of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Parliament shall protect this Constitution and promote the democratic governance of Uganda.”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Turning to the merits of the application, we agree with the principles that govern applications of this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nature as stated in the authorities cited by both counsel. We shall use the principles to determine whether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they apply to the facts of the matter now before us. The first principle is whether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probability of success has been made out. The petition alleges in paragraph 2 as follows: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act of the Attorney-General and Minister of Justice and Constitutional Affairs tabling before Parliament,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Parliament debating, the Constitutional (Amendment) Bill number 2 of 2005 which combines proposed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amendments to Articles specified in Articles 259(2), 260(2), and 261 is inconsistent with and contravenes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Articles 92, 258, 259, 260, 261 and 262 of the Constitution in as much as: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proposed amendments to some of the Articles referred to in Articles 260 and 261 will be unduly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subjected to the procedure in Article 259 of the Constitution.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proposed amendments to some of the Articles referred to in Article 259(2) of the Constitution will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unduly subjected to Article 260 of the Constitution.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proposed amendments to some of the Articles referred to in Article 261 of the Constitution will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unduly be subjected to Article 262 of the Constitution.”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Paragraph 3 of the petition alleges that: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“Rules 104 and 111 of the Rules of Procedure of the Parliament of Uganda are inconsistent with and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contravene Articles 259(1)(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), 260(1)(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261 of the Constitution in as much as: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votes of members of Parliament on the second and third reading of the Bill under the said rules are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omnibus covering the entire Bill and not individual clauses seeking to amend specific Articles in the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votes of members of Parliament on individual clauses of the Bill under the said rules are by simple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majority and not two thirds majority.”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above averments were verified by the affidavit of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Ben </w:t>
      </w:r>
      <w:proofErr w:type="spellStart"/>
      <w:r>
        <w:rPr>
          <w:rFonts w:ascii="Times New Roman" w:hAnsi="Times New Roman" w:cs="Times New Roman"/>
          <w:color w:val="000000"/>
        </w:rPr>
        <w:t>Wacha</w:t>
      </w:r>
      <w:proofErr w:type="spellEnd"/>
      <w:r>
        <w:rPr>
          <w:rFonts w:ascii="Times New Roman" w:hAnsi="Times New Roman" w:cs="Times New Roman"/>
          <w:color w:val="000000"/>
        </w:rPr>
        <w:t xml:space="preserve"> in which he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7F435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alia </w:t>
      </w:r>
      <w:r>
        <w:rPr>
          <w:rFonts w:ascii="Times New Roman" w:hAnsi="Times New Roman" w:cs="Times New Roman"/>
          <w:color w:val="000000"/>
        </w:rPr>
        <w:t>that the Bill seeks to amend, repeal or otherwise affect 114 Articles or schedules of the Constitution.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also avers that there are three procedures of amending the Constitution that are </w:t>
      </w:r>
      <w:proofErr w:type="spellStart"/>
      <w:r>
        <w:rPr>
          <w:rFonts w:ascii="Times New Roman" w:hAnsi="Times New Roman" w:cs="Times New Roman"/>
          <w:color w:val="000000"/>
        </w:rPr>
        <w:t>categorised</w:t>
      </w:r>
      <w:proofErr w:type="spellEnd"/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differently. We think that the contention of the applicants or petitioners in their petition that the act of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Minister in tabling an omnibus Bill for </w:t>
      </w:r>
      <w:r>
        <w:rPr>
          <w:rFonts w:ascii="Times New Roman" w:hAnsi="Times New Roman" w:cs="Times New Roman"/>
          <w:color w:val="000000"/>
        </w:rPr>
        <w:lastRenderedPageBreak/>
        <w:t>eventual enactment into an Act of Parliament will breach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Constitution, raises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success. It raises serious questions to be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investigated by this Court. For that reason we would have exercised our discretion to grant the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orders being sought. However, the affidavit sworn in support of the application contains the following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matters: In paragraph 4 the deponent states as follows: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I am aware as a member of Parliament, that the Legal and Parliamentary Affairs Committee will soon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table its report to Parliament upon which the Bill will proceed to the second and third readings, and if passed,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referred to the district councils for their resolutions and referred to a referendum.”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paragraph 5 he states that: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“That if further consideration of the Bill proceeds and it is passed into law and implemented before the said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petition is heard and disposed of, the relief sought in the petition will be rendered nugatory and the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petitioners’ rights to access court and to be accorded a fair hearing and effective redress will be irretrievably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lost.”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clear from the above paragraphs that currently the factual situation on the ground is as follows:</w:t>
      </w:r>
      <w:r w:rsidR="007F435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Bill was tabled before Parliament on 15 February 2005. Thereafter, it was committed to the Legal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Parliamentary Committee for consideration.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Committee has not yet submitted its report to Parliament for consideration and debate. Until the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report is tabled and considered by Parliament it is difficult to say that Parliament has accepted the Bill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in the format it was presented in by the Minister. Since Parliament has a duty to act within the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when carrying out its legislative functions, it is too early to tell whether it will breach the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 at this stage. It is, therefore, in our view, premature to gauge a breach of the Constitution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 part of Parliament. In result we decline to grant the order being sought and dismiss the</w:t>
      </w:r>
      <w:r w:rsidR="007F435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application. Costs of the application will abide the outcome of the petition.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0D4C3F" w:rsidRDefault="000D4C3F" w:rsidP="000D4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Walubiri</w:t>
      </w:r>
      <w:proofErr w:type="spellEnd"/>
    </w:p>
    <w:p w:rsidR="00366D10" w:rsidRDefault="000D4C3F" w:rsidP="000D4C3F">
      <w:r>
        <w:rPr>
          <w:rFonts w:ascii="Times New Roman" w:hAnsi="Times New Roman" w:cs="Times New Roman"/>
          <w:color w:val="000000"/>
        </w:rPr>
        <w:t>For the respondent: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3F"/>
    <w:rsid w:val="000D4C3F"/>
    <w:rsid w:val="00366D10"/>
    <w:rsid w:val="007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89D1B-3A73-471E-8DF1-2BB706B3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2018-07-04T19:41:00Z</dcterms:created>
  <dcterms:modified xsi:type="dcterms:W3CDTF">2018-07-13T08:12:00Z</dcterms:modified>
</cp:coreProperties>
</file>