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Mathuri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Nyaga</w:t>
      </w:r>
      <w:proofErr w:type="spellEnd"/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May 1974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88/1971 (63/74)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 and </w:t>
      </w:r>
      <w:proofErr w:type="spellStart"/>
      <w:r>
        <w:rPr>
          <w:rFonts w:ascii="Times New Roman" w:hAnsi="Times New Roman" w:cs="Times New Roman"/>
          <w:color w:val="000000"/>
        </w:rPr>
        <w:t>Waiyaki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Jurisdiction – District Magistrate – Slander – Magistrate may try case subject only to financial limit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Magistrates’ Court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&amp; Procedure – No case to answer, submission of – Bars defendant from giving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Evidence struck off record.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the defendant in the trial court and at the conclusion of the respondent’s case, he</w:t>
      </w:r>
      <w:r w:rsidR="001A28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there was no case to answer. The magistrate overruled the submission but allowed the</w:t>
      </w:r>
      <w:r w:rsidR="001A28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call evidence.</w:t>
      </w:r>
      <w:r w:rsidR="001A28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appeal the resident magistrate held that the district magistrate had no jurisdiction to hear a</w:t>
      </w:r>
      <w:r w:rsidR="001A28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of slander.</w:t>
      </w:r>
      <w:r w:rsidR="001A28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second appeal.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district magistrate may hear any proceeding of a civil nature, subject to the financial limits of his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jurisdiction</w:t>
      </w:r>
      <w:proofErr w:type="gramEnd"/>
      <w:r>
        <w:rPr>
          <w:rFonts w:ascii="Times New Roman" w:hAnsi="Times New Roman" w:cs="Times New Roman"/>
          <w:color w:val="000000"/>
        </w:rPr>
        <w:t xml:space="preserve"> and to any special Act;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having submitted that there was no case to answer the appellant should not have been allowed to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call</w:t>
      </w:r>
      <w:proofErr w:type="gramEnd"/>
      <w:r>
        <w:rPr>
          <w:rFonts w:ascii="Times New Roman" w:hAnsi="Times New Roman" w:cs="Times New Roman"/>
          <w:color w:val="000000"/>
        </w:rPr>
        <w:t xml:space="preserve"> any evidence all of which would be struck out.</w:t>
      </w:r>
    </w:p>
    <w:p w:rsidR="00081349" w:rsidRDefault="00081349" w:rsidP="0008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remitted for judgment.</w:t>
      </w:r>
    </w:p>
    <w:p w:rsidR="006B48C8" w:rsidRDefault="00081349" w:rsidP="00081349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49"/>
    <w:rsid w:val="00081349"/>
    <w:rsid w:val="001A2875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DF9B3-0BA0-4869-948C-DF3F022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2018-07-05T13:45:00Z</dcterms:created>
  <dcterms:modified xsi:type="dcterms:W3CDTF">2018-07-13T08:12:00Z</dcterms:modified>
</cp:coreProperties>
</file>