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Mathuri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Nyaga</w:t>
      </w:r>
      <w:proofErr w:type="spellEnd"/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May 1974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88/1971 (63/74)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 and </w:t>
      </w:r>
      <w:proofErr w:type="spellStart"/>
      <w:r>
        <w:rPr>
          <w:rFonts w:ascii="Times New Roman" w:hAnsi="Times New Roman" w:cs="Times New Roman"/>
          <w:color w:val="000000"/>
        </w:rPr>
        <w:t>Waiyaki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Jurisdiction – District Magistrate – Slander – Magistrate may try case subject only to financial limit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Magistrates’ Court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&amp; Procedure – No case to answer, submission of – Bars defendant from giving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Evidence struck off record.</w:t>
      </w:r>
    </w:p>
    <w:p w:rsidR="00B115E5" w:rsidRDefault="00EC0D5A" w:rsidP="00EC0D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115E5" w:rsidRDefault="00B115E5" w:rsidP="00EC0D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Chanan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Singh J: </w:t>
      </w:r>
      <w:r>
        <w:rPr>
          <w:rFonts w:ascii="Times New Roman" w:hAnsi="Times New Roman" w:cs="Times New Roman"/>
          <w:color w:val="000000"/>
        </w:rPr>
        <w:t>This is a simple case in its essence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has been complicated by legal technicalities. The respondent sued the appellant in a third class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magistrate’s court for damages for slander and, to bring his case within the pecuniary jurisdiction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district magistrate, limited his claim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– at least so it seems.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end of the plaintiff’s case, Mr. </w:t>
      </w:r>
      <w:proofErr w:type="spellStart"/>
      <w:r>
        <w:rPr>
          <w:rFonts w:ascii="Times New Roman" w:hAnsi="Times New Roman" w:cs="Times New Roman"/>
          <w:color w:val="000000"/>
        </w:rPr>
        <w:t>Navin</w:t>
      </w:r>
      <w:proofErr w:type="spellEnd"/>
      <w:r>
        <w:rPr>
          <w:rFonts w:ascii="Times New Roman" w:hAnsi="Times New Roman" w:cs="Times New Roman"/>
          <w:color w:val="000000"/>
        </w:rPr>
        <w:t xml:space="preserve"> Patel, who appeared for the appellant, submitted “No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Case”. The district magistrate (instead of warning Mr. Patel that the matter needed serious consideration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once “No Case” was submitted the appellant would be deprived of the opportunity of producing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evidence) ruled that there was a case to answer and called upon the appellant to produce his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evidence was heard and the district magistrate dismissed the case with costs.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appealed to the resident magistrate,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>, on the ground mainly that the district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ought not to have allowed the appellant to give evidence but ought to have entered judgement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on the basis of the respondent’s evidence on record.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resident magistrate, instead of considering the objection to the respondent, took the point </w:t>
      </w:r>
      <w:proofErr w:type="spellStart"/>
      <w:r>
        <w:rPr>
          <w:rFonts w:ascii="Times New Roman" w:hAnsi="Times New Roman" w:cs="Times New Roman"/>
          <w:color w:val="000000"/>
        </w:rPr>
        <w:t>suo</w:t>
      </w:r>
      <w:proofErr w:type="spellEnd"/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moto that the district magistrate had no jurisdiction to hear a case of slander and declared the whole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 nullity.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effect, the respondent had lost again, but the appellant appealed to this court mainly on two grounds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will now be considered.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resident magistrate says in his judgment: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civil jurisdiction of the District Magistrate is provided by section 10 of the Magistrates’ Court Act and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general deals with claims arising under customary law and in contract. The section makes no reference to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claims arising under Common Law such as actions for slander and the District Magistrate could not invest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himself with jurisdiction merely because the amount of damages claimed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1,000/-. In my opinion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sub-section (1)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section 10 refers to a claim in contract only and excludes a claim for slander; therefore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District Magistrate had no jurisdiction to try the present case because it arose under Common Law. For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reason this Appeal is dismissed and the proceedings before the District Magistrate are declared a nullity.”</w:t>
      </w:r>
      <w:r w:rsidR="00EC0D5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to which the resident magistrate refers could have been more clearly worded but we agree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Mr. Clive Salter, Q.C., for the appellant, that the intention is clear. District magistrates have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in proceedings of “a civil nature” provided that one of the two conditions mentioned is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with. The proceedings must either concern a claim under customary law in which case there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be no upper limit to the value of the subject matter or they must concern another claim of a civil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nature when the value of the subject matter must not exceed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1,000/- 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 in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of a first class magistrate’s court.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should be read with s. 3 of the Judicature Act which requires “the High Court” and “all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 courts” to exercise their jurisdiction, in the absence of a relevant provision in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or other written law, “in conformity with”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“the substance of the common law”.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must hold, therefore, that the resident magistrate was wrong in declaring the trial a nullity.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may add that the court of the district magistrate is a court of limited jurisdiction. The limit is set,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generally, by the value of the subject matter but law may expressly exclude certain types of subject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from its purview, e.g. s. 159 of Registered Land Act.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Y. P. Vohra, for the respondent, filed a cross-appeal immediately after the filing of the appeal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years ago. In this, he stated that the resident magistrate had erred in declaring the trial a nullity.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Thus, both parties were dissatisfied with the judgment appealed from. Mr. Vohra also argued another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point, namely, that the resident magistrate should have considered the appeal on its merits.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Y. P. Vohra had, in the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Court, relied on the point that the appellant having pleaded “No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Case” ought not to have been allowed to give evidence but that the court ought to have given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judgment on his </w:t>
      </w:r>
      <w:proofErr w:type="spellStart"/>
      <w:r>
        <w:rPr>
          <w:rFonts w:ascii="Times New Roman" w:hAnsi="Times New Roman" w:cs="Times New Roman"/>
          <w:color w:val="000000"/>
        </w:rPr>
        <w:t>uncontradicted</w:t>
      </w:r>
      <w:proofErr w:type="spellEnd"/>
      <w:r>
        <w:rPr>
          <w:rFonts w:ascii="Times New Roman" w:hAnsi="Times New Roman" w:cs="Times New Roman"/>
          <w:color w:val="000000"/>
        </w:rPr>
        <w:t xml:space="preserve"> evidence. That point still remains to be </w:t>
      </w:r>
      <w:r>
        <w:rPr>
          <w:rFonts w:ascii="Times New Roman" w:hAnsi="Times New Roman" w:cs="Times New Roman"/>
          <w:color w:val="000000"/>
        </w:rPr>
        <w:lastRenderedPageBreak/>
        <w:t>considered.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is that if a defendant in a civil case submits at the end of the plaintiff’s case that there is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case which he is required to meet, then he is in effect saying that he does not want to offer any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Such position does occasionally arise. The defendant may have some irrefutable point of law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his side. But that is a decision which a defendant should not take lightly, because he is depriving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of the right to offer evidence. The practice, therefore, is that the court points out to the defendant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seriousness of the decision he is making and gives him an opportunity to reconsider the matter. If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still persists in pleading No Case, then the court makes note of this and proceeds as though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had no evidence to offer.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 the present case, the district magistrate did not comply with this requirement of practice but it has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borne in mind that the respondent appeared in person whereas the appellant was represented by an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advocate. In our opinion, the appellant by pleading “No Case” disqualified himself from giving or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producing evidence. Therefore, all “evidence” after the end of the respondent’s case ought to be struck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out. We so order.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the district magistrate’s judgment was based partly on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evidence, it was not based on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 properly before the court and we set it aside.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circumstances, it will be profitless to ask the resident magistrate to consider the appeal on its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merits because the only point requiring consideration is the one which the district magistrate himself did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consider. The resident magistrate will himself want to remit the matter to the trial court for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reconsideration in the light of this judgment. We have, therefore, decided to remit the matter to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 magistrate so that he may in turn remit it to the district magistrate to enable him to call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together and to deliver a judgment based solely on the evidence given by the respondent and his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witness and ignoring all the evidence recorded from the appellant and his witnesses.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costs is no easier to decide. Before us, both the appeal and the cross-appeal have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succeeded – ignoring appeals on costs for the time being.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result, as it affects the proceedings in the resident magistrate’s Court, is that the respondent has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succeeded in getting the matter reheard on its merits. The appellant has the satisfaction of being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instrumental in getting a point decided in the public interest. The judgment of the trial court has been set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and it would not be fair to award costs to either side.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whole, we feel Mr. Vohra’s suggestion that each party should bear his own costs of all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so far is eminently fair. We so order. The costs of any proceedings that may take place in the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future will abide the event.</w:t>
      </w:r>
      <w:r w:rsidR="00EC0D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 w:rsidR="00EC0D5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 Salter QC &amp; NC Patel</w:t>
      </w:r>
    </w:p>
    <w:p w:rsidR="00B115E5" w:rsidRDefault="00B115E5" w:rsidP="00B11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B48C8" w:rsidRDefault="00B115E5" w:rsidP="00B115E5">
      <w:r>
        <w:rPr>
          <w:rFonts w:ascii="Times New Roman" w:hAnsi="Times New Roman" w:cs="Times New Roman"/>
          <w:i/>
          <w:iCs/>
          <w:color w:val="000000"/>
        </w:rPr>
        <w:t>YP Vohra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E5"/>
    <w:rsid w:val="006B48C8"/>
    <w:rsid w:val="00B115E5"/>
    <w:rsid w:val="00E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5659-E312-447A-9966-7637ECB0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2018-07-05T13:45:00Z</dcterms:created>
  <dcterms:modified xsi:type="dcterms:W3CDTF">2018-07-13T08:13:00Z</dcterms:modified>
</cp:coreProperties>
</file>