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Mawanda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28 February 2000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4/99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Advocate conceding to lesser offence on appeal – Appellant convicted of and sentenced for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lesser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offence – Whether conviction and sentence sustainable.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Appeal – Duty of court on appeal – Whether court has duty to re-evaluate evidence on appeal.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Criminal practice and procedure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Unequivocality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Appellant convicted of and sentenced for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aggravated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robbery – On appeal Appellant’s advocate conceding to simple robbery – Whether such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concession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 unequivocal admission of guilt.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937C2" w:rsidRDefault="00020E46" w:rsidP="005937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night of 13 January 1993 a husband and wife (the complainants) were attacked in their bedroom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about three men, who assaulted them and stole various items from them. Early the following day,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personnel on patrol intercepted a man carrying a bag containing diverse items and later two other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men, one of whom was the Appellant. The security personnel took the men to the home of the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complainants and the complainants identified the items as their property. The Appellant’s two colleagues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escaped custody at different times before trial and the Appellant was tried alone at the High Court for the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of aggravated robbery contrary to sections 272 and 273(2) of the Penal Code convicted and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to death.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to the Court of Appeal on the ground that there was insufficient evidence to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 him, and prayed for an acquittal. However, unlike in the memorandum of appeal to the Court of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counsel for the Appellant, in his submissions, did not pray for an outright acquittal and appeared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concede to the Appellant’s commission of simple robbery. Although this argument did not seem to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confirm to the grounds in the memorandum, none of the grounds was withdrawn. The Court of Appeal in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reliance on the concession by counsel quashed the High Court conviction and sentence and substituted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 a conviction of simple robbery and a sentence of imprisonment for ten years, with orders for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supervision for 3 years,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corporal punishment of six strokes, and compensation to the complainants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100 000.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that conviction, the Appellant appealed further to the Supreme Court on three main grounds,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namely: that the initial conviction was erroneously based on the recent possession of a stolen radio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cassette when it was not proved that a radio cassette had been stolen; that the Court of Appeal had erred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basing its decision on concession by counsel that the Appellant had participated in the robbery; and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court had failed to consider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 raised.</w:t>
      </w:r>
      <w:r w:rsidR="005937C2">
        <w:rPr>
          <w:rFonts w:ascii="Times New Roman" w:hAnsi="Times New Roman" w:cs="Times New Roman"/>
          <w:color w:val="000000"/>
        </w:rPr>
        <w:t xml:space="preserve"> </w:t>
      </w:r>
    </w:p>
    <w:p w:rsidR="005937C2" w:rsidRDefault="005937C2" w:rsidP="005937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20E46" w:rsidRDefault="00020E46" w:rsidP="005937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As a general rule, whatever counsel said to the court, whether a statement of fact or an argument,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deemed to be said on instructions of the client. A statement amounting to an admission that the client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 the offence in issue was, however, to be treated in accordance with section 28(3) of the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which provides that for an accused person to be convicted on a plea it must be himself who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pleads guilty and his advocate cannot enter a plea on his behalf; </w:t>
      </w:r>
      <w:r>
        <w:rPr>
          <w:rFonts w:ascii="Times New Roman" w:hAnsi="Times New Roman" w:cs="Times New Roman"/>
          <w:i/>
          <w:iCs/>
          <w:color w:val="000000"/>
        </w:rPr>
        <w:t>Manager, Tank Building Contractors v</w:t>
      </w:r>
      <w:r w:rsidR="005937C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[1968] EA 120 followed.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 convicted person opted to challenge the verdict, an alteration of his position to admit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of the offence should be treated like a change of plea. A purported plea by an advocate on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behalf of his client was to be taken as the advocate’s own opinion of the evidence; advocates were not to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assume the role of judges.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was under a duty to re-evaluate the evidence on record and make its own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on the guilt or innocence of the Appellant, notwithstanding the counsel’s concession;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 Uganda </w:t>
      </w:r>
      <w:r>
        <w:rPr>
          <w:rFonts w:ascii="Times New Roman" w:hAnsi="Times New Roman" w:cs="Times New Roman"/>
          <w:color w:val="000000"/>
        </w:rPr>
        <w:t xml:space="preserve">criminal appeal number 10 of 1997 (UR)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Moses and another v</w:t>
      </w:r>
      <w:r w:rsidR="005937C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Uganda </w:t>
      </w:r>
      <w:r>
        <w:rPr>
          <w:rFonts w:ascii="Times New Roman" w:hAnsi="Times New Roman" w:cs="Times New Roman"/>
          <w:color w:val="000000"/>
        </w:rPr>
        <w:t>criminal appeal number 1 of 1997 (UR) followed. There was no sufficient evidence to warrant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of the Appellant.</w:t>
      </w:r>
      <w:r w:rsidR="00593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was allowed, the conviction quashed and the sentence set aside.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Cases referred to in judgment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Moses and another v Uganda </w:t>
      </w:r>
      <w:r>
        <w:rPr>
          <w:rFonts w:ascii="Times New Roman" w:hAnsi="Times New Roman" w:cs="Times New Roman"/>
          <w:color w:val="000000"/>
        </w:rPr>
        <w:t xml:space="preserve">criminal appeal number 1 of 1997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Ezera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Kyabanamaizi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[1962] EA 309</w:t>
      </w:r>
    </w:p>
    <w:p w:rsidR="00020E46" w:rsidRDefault="00020E46" w:rsidP="0002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 Uganda </w:t>
      </w:r>
      <w:r>
        <w:rPr>
          <w:rFonts w:ascii="Times New Roman" w:hAnsi="Times New Roman" w:cs="Times New Roman"/>
          <w:color w:val="000000"/>
        </w:rPr>
        <w:t xml:space="preserve">criminal appeal number 10 of 1997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F18BF" w:rsidRDefault="00020E46" w:rsidP="00020E46">
      <w:r>
        <w:rPr>
          <w:rFonts w:ascii="Times New Roman" w:hAnsi="Times New Roman" w:cs="Times New Roman"/>
          <w:i/>
          <w:iCs/>
          <w:color w:val="000000"/>
        </w:rPr>
        <w:t xml:space="preserve">Manager, Tank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Bulding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Contractors v Republic </w:t>
      </w:r>
      <w:r>
        <w:rPr>
          <w:rFonts w:ascii="Times New Roman" w:hAnsi="Times New Roman" w:cs="Times New Roman"/>
          <w:color w:val="000000"/>
        </w:rPr>
        <w:t xml:space="preserve">[1968] EA 120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46"/>
    <w:rsid w:val="00020E46"/>
    <w:rsid w:val="003F18BF"/>
    <w:rsid w:val="005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98A7B-7895-452E-9EC9-E0136CE5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2018-07-05T10:40:00Z</dcterms:created>
  <dcterms:modified xsi:type="dcterms:W3CDTF">2018-07-13T08:15:00Z</dcterms:modified>
</cp:coreProperties>
</file>