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Mayers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&amp; another v Akira Ranch Ltd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September 1973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166/1971 (60/74)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Admissibility – Affidavit – Containing hearsay – Inadmissible on application to rectify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share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register of company.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Affidavit – Striking out – Retention of inadmissible matter would be</w:t>
      </w:r>
    </w:p>
    <w:p w:rsidR="00310767" w:rsidRDefault="00310767" w:rsidP="00310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oppressive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 xml:space="preserve">18,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6 (K)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10767" w:rsidRDefault="00684DF5" w:rsidP="00684D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84DF5" w:rsidRDefault="00310767" w:rsidP="00684DF5">
      <w:pPr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Harris J: </w:t>
      </w:r>
      <w:r>
        <w:rPr>
          <w:rFonts w:ascii="Times New Roman" w:hAnsi="Times New Roman" w:cs="Times New Roman"/>
          <w:color w:val="000000"/>
        </w:rPr>
        <w:t>By an originating notice of motion brought under the Companies Act (Cap 486) and filed on 2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February 1971, Mrs. H. M.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 xml:space="preserve"> and Mr. D.D.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 xml:space="preserve"> (to whom I will refer as “the applicants”) seek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pursuant to s. 118 of the Act for the reinstatement of their names in the register of members of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Akira Ranch Ltd as the holders of one share each. In support of the motion they rely upon an affidavit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on 29 January 1971 by Mr. Cyril Herbert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, the husband of the first-named applicant and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father of the second-named applicant. The company is named as the respondent to the motion, notice of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has been served also upon Mr. Lloyd-Jones, a director of the company, and upon a company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Control Ltd which is the secretary of Akira Ranch Ltd. Mr. R. S. Cameron, to whom reference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made, is a director of Control Ltd.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motion commenced before me on 6 December 1972 but was adjourned on the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of the applicants who sought and obtained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to file a further affidavit for the purpose of identifying the two shares referred to in the motion.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affidavit, sworn by Mr. C. H.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 xml:space="preserve"> on 15 December 1972, has since been filed.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chamber summons issued on 22 December 1972 the company now seeks an order to strike out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portions of the earlier affidavit of Mr. C. H.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 xml:space="preserve"> of 29 January 1971, upon which the motion is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grounded. In reply to this the applicants, as respondents to the summons, by letter dated 6 January 1973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their advocates, expressed to have been written “in view of the recent Practice Note issued by the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Justice”, gave notice to the advocates for the company of their intention to raise four preliminary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objections as follows: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that the application will take more than one half hour and should accordingly be listed for a firm date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the call-over;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such evidence was accepted without objection on the part of the respondent by the Court of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and that the point now raised as to hearsay is res judicata by the Court of Appeal decision;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in the alternative if the point now raised in the application is still open to argument, such point is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already in issue on the main application and this second application must be stayed under s. 6 of the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Procedure Act;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that the said application is an abuse of the process of the Court for reasons stated in the numbered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paragraphs 2 &amp; 3 above.”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am informed by the Chief Justice that he has not issued a practice note such as would enable any of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four objections to be raised in this fashion and accordingly I will deal with the objections, not as a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for preliminary consideration, but as part of the applicants’ case in reply to the company’s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chamber summons. What is now before me is the chamber summons to strike out portions of Mr. C. H.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of 29 January 1971 in support of the motion but not the motion itself. The Court is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in no way concerned at this stage with the respective positions of the parties in relation to the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names appearing on the register nor am I persuaded that the company can be said to have waived its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rights, as is suggested by the applicants, in regard to the admissibility or otherwise of the passages in Mr.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which are now challenged.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portions of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which the company seeks to have struck out comprise three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separate passages occurring in paragraphs 9 and 10 and the grounds as set out in the summons upon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it is sought to have them struck out are that the notice of motion is an application for substantive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and should be treated as a suit rather than as an interlocutory application, and that the portions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are hearsay and not admissible in evidence by virtue of the provisions of s. 2 of the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Act (Cap. 80).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2(1) of this Act declares that the Act shall apply to all judicial proceedings in or before any court,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s. 2(2) provides that, subject to the provisions of any other Act or </w:t>
      </w:r>
      <w:r>
        <w:rPr>
          <w:rFonts w:ascii="Times New Roman" w:hAnsi="Times New Roman" w:cs="Times New Roman"/>
          <w:color w:val="000000"/>
        </w:rPr>
        <w:lastRenderedPageBreak/>
        <w:t>of any rules of Court, the Act shall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to affidavits presented to any Court.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O. 18</w:t>
      </w:r>
      <w:proofErr w:type="gramStart"/>
      <w:r>
        <w:rPr>
          <w:rFonts w:ascii="Times New Roman" w:hAnsi="Times New Roman" w:cs="Times New Roman"/>
          <w:color w:val="000000"/>
        </w:rPr>
        <w:t>,r</w:t>
      </w:r>
      <w:proofErr w:type="gramEnd"/>
      <w:r>
        <w:rPr>
          <w:rFonts w:ascii="Times New Roman" w:hAnsi="Times New Roman" w:cs="Times New Roman"/>
          <w:color w:val="000000"/>
        </w:rPr>
        <w:t>. 3(1) of the Civil Procedure (Revised) Rules, 1948, is in the following terms: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“Affidavits shall be confined to such facts as the deponent is able of his own knowledge to prove: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in interlocutory proceedings, or by leave of the Court, an affidavit may contain statements of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information and belief showing the sources and grounds thereof.”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in the first place the proviso to r. 3 (1) I am satisfied, having regard to the view of the Court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in </w:t>
      </w:r>
      <w:r>
        <w:rPr>
          <w:rFonts w:ascii="Times New Roman" w:hAnsi="Times New Roman" w:cs="Times New Roman"/>
          <w:i/>
          <w:iCs/>
          <w:color w:val="000000"/>
        </w:rPr>
        <w:t xml:space="preserve">Saint Benoist Plantations Ltd. v. Felix </w:t>
      </w:r>
      <w:r>
        <w:rPr>
          <w:rFonts w:ascii="Times New Roman" w:hAnsi="Times New Roman" w:cs="Times New Roman"/>
          <w:color w:val="000000"/>
        </w:rPr>
        <w:t xml:space="preserve">(1954), 21 E.A.C.A. 105, and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Boyes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Gathure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E.A. 385, that proceedings such as those in the instant case, that is, an originating application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under s. 118 of the Companies Act, cannot be regarded as interlocutory in nature when there is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suit in existence within the framework of which they are brought.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Furthermore, although the Court may grant leave to admit in evidence an affidavit containing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of information and belief and showing the sources and grounds thereof, no such leave has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sought here and I do not feel that it would be proper, in view of the sharp contest which has arisen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matter, possibly involving or thought to involve a question of principle, to grant such leave without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being expressly asked for.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becomes necessary therefore to consider whether the portions of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to which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has been taken should or should not be excluded by virtue of the restriction imposed by r. 3 (1),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is, whether those portions can be said to contain only facts which the deponent is able of his own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to prove.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turning to the precise passages of the affidavit which are challenged in the summons it will be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expedient to mention the preliminary objection to the summons taken by the applicants as respondents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namely, that the issue sought to be raised cannot be entertained by reason of ss. 6 and 7 of the Civil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Act (Cap. 5) and of the principle of res judicata. I have considered these provisions but am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see in them any ground for not entertaining and disposing of the present summons.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further objections taken by the respondents are, first, that the summons is premature inasmuch as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seeks to challenge the affidavit before it has been tendered in evidence, and secondly that the summons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too late and should have been raised “at the hearing of the motion”. The affidavit has been duly filed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is before the Court, the motion is still at hearing, and I do not propose to spend further time on these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conflicting objections which are accordingly rejected.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has been mentioned, the company challenges three separate passages in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affidavit, two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in para. 9 and one in para. 10. The first of these passages is as follows: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“Some weeks later I was informed by my said advocate and verily believe the same that he had been verbally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assured by Mr. Cameron that the transfers were being registered. I am further informed by my said advocate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verily believe the same that he had received no new certificates.”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criterion to be applied in determining what is to be excluded under the hearsay rule is shortly stated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Vol. 15, p. 266, Halsbury’s Laws of England, 3rd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in these words: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witness cannot be called, in proof of a fact, to state that he heard someone else state it to be one. Care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taken to distinguish between evidence which is tendered to prove that someone else has spoken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certain words when the fact of which proof is required is merely the speaking, and evidence which is tendered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prove that someone else has spoken certain words as leading to a conclusion that the words spoken were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true. The former is admissible (as in the cases where the uttering of a slander has to be proved); the latter is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not.”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Again, at p. 295 of the same volume it is said that the two principal objections to the admission of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hearsay would appear to be the lack of an oath administered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originator of the statement and the absence of opportunity to cross-examine him.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Applying these tests to the passage in the affidavit I am of the opinion that the words “that he had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verbally assured by Mr. Cameron that the transfers were being registered” and the words “that 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received no new certificates” are hearsay and inadmissible in evidence.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passage in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to which objection is taken is also to be found in para. 9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is as follows: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and I am informed and verily believe the same that my said advocate has also not received any reply to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said notice from the company or the directors or officers of the company”.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passage does not state by whom the deponent was so informed but, assuming that it was his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advocate, the passage, for the reason stated above, is clearly inadmissible.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passage objected to, which constitutes the greater part of para. 10 of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affidavit,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falls under the same rule as the other two and, for the reasons indicated, is inadmissible.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passage reads as follows: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this occasion my said advocate and I were informed by Mr. R. S. Cameron that he had received verbal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instructions from Mr. D. T. E.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Lloyd-Jones, a director of the company,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authorising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him to register the said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transfers and Mr. D. T. E. Lloyd Jones had accordingly arranged for the register of members to be delivered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said Mr. R. S. Cameron for that purpose. The said Mr. R. S. Cameron also informed me and my said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advocate on the said occasion and I verily believe the same to be true that the registration of the said transfers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been effected and the names of the applicants above named entered in the register of members. However,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Mr. R. S. Cameron informed me and my said advocate and I verily believe the same that subsequent to the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entry of the names of the applicants above named in the register of members the said Mr. Lloyd-Jones on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behalf of the directors had given verbal instructions to him to delete the said names from the said register of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members. Mr. Cameron informed me that he had agreed to do this and had effected such deletion of the said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names in the register of members.”</w:t>
      </w:r>
      <w:r w:rsidR="00684DF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result, therefore, each of the three paragraphs of the affidavit </w:t>
      </w:r>
      <w:proofErr w:type="spellStart"/>
      <w:r>
        <w:rPr>
          <w:rFonts w:ascii="Times New Roman" w:hAnsi="Times New Roman" w:cs="Times New Roman"/>
          <w:color w:val="000000"/>
        </w:rPr>
        <w:t>particularised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chamber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is held to be inadmissible in evidence in these proceedings and it remains to consider whether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should accordingly be struck out as being irrelevant and oppressive.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O. 18, r. 6 provides that the Court may order to be struck out any matter which is scandalous,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irrelevant or oppressive, three characteristics which it is clear, despite the applicants’ contention to the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contrary, are to be read disjunctively where, as here, an affidavit contains averments of apparent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in the proceedings but which transgress the requirements of O. 18, r. 3 (1) and in regard to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leave of the Court under the proviso to that sub-rule has not been obtained, the retention of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averments in the affidavit contrary to the expressed wishes of the opposing party would, in my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opinion, be oppressive within the meaning of r. 6 of the Order.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the application by chamber summons succeeds and those portions of paragraphs 9 and 10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Mr. </w:t>
      </w:r>
      <w:proofErr w:type="spellStart"/>
      <w:r>
        <w:rPr>
          <w:rFonts w:ascii="Times New Roman" w:hAnsi="Times New Roman" w:cs="Times New Roman"/>
          <w:color w:val="000000"/>
        </w:rPr>
        <w:t>Mayers</w:t>
      </w:r>
      <w:proofErr w:type="spellEnd"/>
      <w:r>
        <w:rPr>
          <w:rFonts w:ascii="Times New Roman" w:hAnsi="Times New Roman" w:cs="Times New Roman"/>
          <w:color w:val="000000"/>
        </w:rPr>
        <w:t>’ affidavit dated 29 January 1971 already indicated are struck out. The company will have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costs of the application to be taxed on the disposal of the originating motion.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</w:t>
      </w:r>
      <w:r w:rsidR="00684DF5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684DF5" w:rsidRDefault="00310767" w:rsidP="00684DF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Khanna &amp; Co </w:t>
      </w:r>
      <w:r>
        <w:rPr>
          <w:rFonts w:ascii="Times New Roman" w:hAnsi="Times New Roman" w:cs="Times New Roman"/>
          <w:color w:val="000000"/>
        </w:rPr>
        <w:t>Nairobi)</w:t>
      </w:r>
      <w:r w:rsidR="00684DF5">
        <w:rPr>
          <w:rFonts w:ascii="Times New Roman" w:hAnsi="Times New Roman" w:cs="Times New Roman"/>
          <w:color w:val="000000"/>
        </w:rPr>
        <w:t xml:space="preserve"> </w:t>
      </w:r>
    </w:p>
    <w:p w:rsidR="006B48C8" w:rsidRDefault="00310767" w:rsidP="00684DF5">
      <w:pPr>
        <w:jc w:val="both"/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respondent:</w:t>
      </w:r>
      <w:r w:rsidR="00684DF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 Le Pelley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Hamilton Harrison &amp; Matthews</w:t>
      </w:r>
      <w:r>
        <w:rPr>
          <w:rFonts w:ascii="Times New Roman" w:hAnsi="Times New Roman" w:cs="Times New Roman"/>
          <w:color w:val="000000"/>
        </w:rPr>
        <w:t>, Nairobi)</w:t>
      </w:r>
      <w:r w:rsidR="00684DF5">
        <w:t xml:space="preserve"> 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67"/>
    <w:rsid w:val="00310767"/>
    <w:rsid w:val="00684DF5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E0684-F27C-4F1E-8BAD-6F48EBF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2018-07-05T13:42:00Z</dcterms:created>
  <dcterms:modified xsi:type="dcterms:W3CDTF">2018-07-13T08:19:00Z</dcterms:modified>
</cp:coreProperties>
</file>