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Mbaki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Macharia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September 2005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178/02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Company law – Winding-up petition – Summary hearing of a winding-up petition – Provisions of the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winding-up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rules in relation to summary hearing of a petition – Effect of such summary hearing of the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petition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127BF1" w:rsidRDefault="009868CD" w:rsidP="009868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27BF1" w:rsidRDefault="00127BF1" w:rsidP="009868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Although this appeal turns on the short issue, whether the appellants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afforded a fair hearing before the superior court, it is pertinent to relate, albeit briefly,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background to the appeal.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42 years ago at the dawn of our independence in 1963, 21 persons pooled their resources in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partnership and purchased a prime property in the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 xml:space="preserve"> of Nairobi city known as “Terrace Hotel” on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reference number 209/8012. Among them were the five protagonists in this appeal, who do not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purport to be acting in any representative capacity for the other partners. It is common ground that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management of the partnership business in Terrace Hotel was entrusted to one of the partners, </w:t>
      </w:r>
      <w:proofErr w:type="spellStart"/>
      <w:r>
        <w:rPr>
          <w:rFonts w:ascii="Times New Roman" w:hAnsi="Times New Roman" w:cs="Times New Roman"/>
          <w:color w:val="000000"/>
        </w:rPr>
        <w:t>Gichuhi</w:t>
      </w:r>
      <w:proofErr w:type="spellEnd"/>
      <w:r w:rsidR="009868C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Macharia</w:t>
      </w:r>
      <w:proofErr w:type="spellEnd"/>
      <w:r>
        <w:rPr>
          <w:rFonts w:ascii="Times New Roman" w:hAnsi="Times New Roman" w:cs="Times New Roman"/>
          <w:color w:val="000000"/>
        </w:rPr>
        <w:t>, the first respondent. The hotel had boarding and lodging facilities, and it would appear from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record that the business did so well that the profits made from it were used to purchase two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prime commercial properties: a block of residential flats in </w:t>
      </w:r>
      <w:proofErr w:type="spellStart"/>
      <w:r>
        <w:rPr>
          <w:rFonts w:ascii="Times New Roman" w:hAnsi="Times New Roman" w:cs="Times New Roman"/>
          <w:color w:val="000000"/>
        </w:rPr>
        <w:t>Mbotela</w:t>
      </w:r>
      <w:proofErr w:type="spellEnd"/>
      <w:r>
        <w:rPr>
          <w:rFonts w:ascii="Times New Roman" w:hAnsi="Times New Roman" w:cs="Times New Roman"/>
          <w:color w:val="000000"/>
        </w:rPr>
        <w:t xml:space="preserve"> Estate on Land reference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4844/113, another hotel with boarding and lodging facilities situated at </w:t>
      </w:r>
      <w:proofErr w:type="spellStart"/>
      <w:r>
        <w:rPr>
          <w:rFonts w:ascii="Times New Roman" w:hAnsi="Times New Roman" w:cs="Times New Roman"/>
          <w:color w:val="000000"/>
        </w:rPr>
        <w:t>Ngara</w:t>
      </w:r>
      <w:proofErr w:type="spellEnd"/>
      <w:r>
        <w:rPr>
          <w:rFonts w:ascii="Times New Roman" w:hAnsi="Times New Roman" w:cs="Times New Roman"/>
          <w:color w:val="000000"/>
        </w:rPr>
        <w:t xml:space="preserve"> on Land reference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209/2490/31 (hereinafter “the partnership property’). The valuation for those properties, as at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1997, was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73 756 000. It was in that year, however, that everything went awry for the partners and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partnership property.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December 1997, a suit was filed in the High Court by a private limited liability company known as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“Terrace Hotels Ltd” (hereinafter “the company”).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High Court civil case 3194/97 and was filed against the three appellants in this appeal and two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sons of one of the original partners, one </w:t>
      </w:r>
      <w:proofErr w:type="spellStart"/>
      <w:r>
        <w:rPr>
          <w:rFonts w:ascii="Times New Roman" w:hAnsi="Times New Roman" w:cs="Times New Roman"/>
          <w:color w:val="000000"/>
        </w:rPr>
        <w:t>Kobu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Ndio</w:t>
      </w:r>
      <w:proofErr w:type="spellEnd"/>
      <w:r>
        <w:rPr>
          <w:rFonts w:ascii="Times New Roman" w:hAnsi="Times New Roman" w:cs="Times New Roman"/>
          <w:color w:val="000000"/>
        </w:rPr>
        <w:t>. The company claimed that it was incorporated on 26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April 1971 and owned the three partnership properties which it was running as going business concerns.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four directors were named as </w:t>
      </w:r>
      <w:proofErr w:type="spellStart"/>
      <w:r>
        <w:rPr>
          <w:rFonts w:ascii="Times New Roman" w:hAnsi="Times New Roman" w:cs="Times New Roman"/>
          <w:color w:val="000000"/>
        </w:rPr>
        <w:t>Gichuhi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Macharia</w:t>
      </w:r>
      <w:proofErr w:type="spellEnd"/>
      <w:r>
        <w:rPr>
          <w:rFonts w:ascii="Times New Roman" w:hAnsi="Times New Roman" w:cs="Times New Roman"/>
          <w:color w:val="000000"/>
        </w:rPr>
        <w:t xml:space="preserve">, Duncan </w:t>
      </w:r>
      <w:proofErr w:type="spellStart"/>
      <w:r>
        <w:rPr>
          <w:rFonts w:ascii="Times New Roman" w:hAnsi="Times New Roman" w:cs="Times New Roman"/>
          <w:color w:val="000000"/>
        </w:rPr>
        <w:t>Mwaura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(the two respondents),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Kimanga</w:t>
      </w:r>
      <w:proofErr w:type="spellEnd"/>
      <w:r>
        <w:rPr>
          <w:rFonts w:ascii="Times New Roman" w:hAnsi="Times New Roman" w:cs="Times New Roman"/>
          <w:color w:val="000000"/>
        </w:rPr>
        <w:t xml:space="preserve"> and James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>. The latter would plead later that he was not a party to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incorporation of the company and that it was </w:t>
      </w:r>
      <w:proofErr w:type="spellStart"/>
      <w:r>
        <w:rPr>
          <w:rFonts w:ascii="Times New Roman" w:hAnsi="Times New Roman" w:cs="Times New Roman"/>
          <w:color w:val="000000"/>
        </w:rPr>
        <w:t>Gichuhi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Macharia</w:t>
      </w:r>
      <w:proofErr w:type="spellEnd"/>
      <w:r>
        <w:rPr>
          <w:rFonts w:ascii="Times New Roman" w:hAnsi="Times New Roman" w:cs="Times New Roman"/>
          <w:color w:val="000000"/>
        </w:rPr>
        <w:t xml:space="preserve"> who was the prime mover of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incorporation, naming himself the Managing Director for life and allotting himself 60 percent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shareholding in the company. The company also claimed that the three appellants were shareholders.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action pleaded in the suit was that the appellants had, in September that year, forcefully and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unlawfully taken over the management of the partnership property and evicted the employees of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company. It sought a permanent injunction to stop them from those acts of trespass, amongst other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remedies.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company’s attempt to stop the appellants from their activities pending the hearing of that suit did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succeed. The appellants denied knowledge of the company or its entitlement to the partnership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property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 (as he then was) found no clear case disclosed by the company to warrant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issuance of the order sought for a temporary injunction. The legal status of the ownership for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 was in dispute; the shareholding of each of the 21 persons in the original partnership was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shrouded in mystery; the shareholding of each of the 21 persons in the company was not shown in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memorandum and Articles of association; and their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in the affairs of the company was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doubtful. The application was dismissed on 2 December 1998 but there was no appeal preferred.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has not pursued the main suit ever since.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instead the three appellants who returned to the High Court and filed a suit against the company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four persons named as the shareholders/directors in the memorandum and Articles of association.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was High Court civil case 96/99 filed on 18 January 1999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They pleaded membership of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original partnership and ownership of the partnership property and accused the company and the four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of fraudulently and unlawfully converting the partnership property. They sought a declaration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company was a sham and an order for winding it up, thus reverting the partnership property to its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lawful ownership. That suit, too, has yet to be heard and determined.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Despite the pendency of the two suits,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Gichuhi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Macharia</w:t>
      </w:r>
      <w:proofErr w:type="spellEnd"/>
      <w:r>
        <w:rPr>
          <w:rFonts w:ascii="Times New Roman" w:hAnsi="Times New Roman" w:cs="Times New Roman"/>
          <w:color w:val="000000"/>
        </w:rPr>
        <w:t xml:space="preserve"> and Duncan </w:t>
      </w:r>
      <w:proofErr w:type="spellStart"/>
      <w:r>
        <w:rPr>
          <w:rFonts w:ascii="Times New Roman" w:hAnsi="Times New Roman" w:cs="Times New Roman"/>
          <w:color w:val="000000"/>
        </w:rPr>
        <w:t>Mwaura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petitioned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for the winding up of the company in Winding-up case number 1 of 2000 filed on 5 January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2000. They pleaded that it was just and equitable to wind up the company for various reasons. That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an application under section 219(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 of the Companies Act, Chapter 486, although there was no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mention of it. Eventually the petition was placed before </w:t>
      </w:r>
      <w:proofErr w:type="spellStart"/>
      <w:r>
        <w:rPr>
          <w:rFonts w:ascii="Times New Roman" w:hAnsi="Times New Roman" w:cs="Times New Roman"/>
          <w:color w:val="000000"/>
        </w:rPr>
        <w:t>Ransley</w:t>
      </w:r>
      <w:proofErr w:type="spellEnd"/>
      <w:r>
        <w:rPr>
          <w:rFonts w:ascii="Times New Roman" w:hAnsi="Times New Roman" w:cs="Times New Roman"/>
          <w:color w:val="000000"/>
        </w:rPr>
        <w:t>, Commissioner of Assize (as he then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was) who conducted the proceedings between 28 July 2000 until he made the order now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subject-matter of this appeal, on 29 May 2002. The order was made apparently without hearing any of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parties, although they were present, and the matter had been stood over for further hearing on that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day. It was a </w:t>
      </w:r>
      <w:proofErr w:type="spellStart"/>
      <w:r>
        <w:rPr>
          <w:rFonts w:ascii="Times New Roman" w:hAnsi="Times New Roman" w:cs="Times New Roman"/>
          <w:color w:val="000000"/>
        </w:rPr>
        <w:t>curt</w:t>
      </w:r>
      <w:proofErr w:type="spellEnd"/>
      <w:r>
        <w:rPr>
          <w:rFonts w:ascii="Times New Roman" w:hAnsi="Times New Roman" w:cs="Times New Roman"/>
          <w:color w:val="000000"/>
        </w:rPr>
        <w:t xml:space="preserve"> order as follows: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“Order: It appears to me that there are irreconcilable differences between the shareholders in the company and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indeed in High Court civil case number 3194 of 1997 the respondents seek an order for the company to be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wound up. The companies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auditors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Mukunya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Associates CPA being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the liquidators of the company. The Liquidators to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enquire and determine who are shareholders and the extent of the holding. Also to determine the companies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assets and liabilities.”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Liberty to apply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costs in this winding up to petitioners and respondents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).”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appellants laid out some five grounds of appeal which basically asserted that there was no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factual or legal basis for making the winding-up order, the gravamen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of the appeal was in grounds 4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5 of the memorandum of appeal, which state as follows: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“4. The learned Commissioner of Assize erred in law in conducting the proceedings in a manner which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irregular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unprocedural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thereby denying the appellants their undoubted right of presenting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their case.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Commissioner of Assize erred in law in failing to write a judgment in accordance with the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the Civil Procedure Act and Rules.”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counsel for the appellants,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Musyoka</w:t>
      </w:r>
      <w:proofErr w:type="spellEnd"/>
      <w:r>
        <w:rPr>
          <w:rFonts w:ascii="Times New Roman" w:hAnsi="Times New Roman" w:cs="Times New Roman"/>
          <w:color w:val="000000"/>
        </w:rPr>
        <w:t>, referred to the proceedings since 28 July 2000 when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Commissioner of Assize was seized of the matter and pointed out the various orders made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suo</w:t>
      </w:r>
      <w:proofErr w:type="spellEnd"/>
      <w:r w:rsidR="009868C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motu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at the instance of the respondents’ counsel. Such were the proceedings recorded on 28 July 2000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petitioners’ counsel made a few opening remarks and the court made an order for production of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various documents which no party had applied for, the matter was then adjourned severally thereafter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12 June 2001 when the petitioner appeared with a different advocate who recommenced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submissions before compliance with the earlier court order. A further order was made, again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motu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,</w:t>
      </w:r>
      <w:r w:rsidR="009868C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company secretary makes a report relating to various matters. Those orders were repeated on 11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July 2001 and on subsequent dates when compliance therewith was not forthcoming. Eventually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Commissioner of Assize made an order on 16 December 2001 thus: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“Stood over to 18 December 2001. The books to be returned to the respondent to bring them up to date. If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accounts not available, petition to go for hearing.”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books were not availed in accordance with the order and the petition was therefore set down for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on 28 and 29 May 2002. Both counsel attended court on 28 May 2002 and the record shows: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“28 May 2002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Coram: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Ransley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Commissioner of Assize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Martha – Court Clerk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Kirundi </w:t>
      </w:r>
      <w:r>
        <w:rPr>
          <w:rFonts w:ascii="Times New Roman" w:hAnsi="Times New Roman" w:cs="Times New Roman"/>
          <w:color w:val="000000"/>
          <w:sz w:val="20"/>
          <w:szCs w:val="20"/>
        </w:rPr>
        <w:t>for petitioner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Githinji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respondent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Kirundi</w:t>
      </w:r>
      <w:r>
        <w:rPr>
          <w:rFonts w:ascii="Times New Roman" w:hAnsi="Times New Roman" w:cs="Times New Roman"/>
          <w:color w:val="000000"/>
          <w:sz w:val="20"/>
          <w:szCs w:val="20"/>
        </w:rPr>
        <w:t>: Ask for company to be wound up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Refer to proceedings in High Court civil case 96 of 1999 and plaint filed by the respondents in this suit ask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company to be wound up. There are irreconcilable disputes between the parties.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Githinji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See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ruling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Githinji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J. The shareholders are not certain. Want to come at 11:00 am tomorrow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consulting with my clients.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Kirundi</w:t>
      </w:r>
      <w:r>
        <w:rPr>
          <w:rFonts w:ascii="Times New Roman" w:hAnsi="Times New Roman" w:cs="Times New Roman"/>
          <w:color w:val="000000"/>
          <w:sz w:val="20"/>
          <w:szCs w:val="20"/>
        </w:rPr>
        <w:t>: the defendants are in possession.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PJ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Ransley</w:t>
      </w:r>
      <w:proofErr w:type="spellEnd"/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Commissioner of Assize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Stood over to 29 May 2002 at 11:00 am.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PJ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Ransley</w:t>
      </w:r>
      <w:proofErr w:type="spellEnd"/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Commissioner of Assize”</w:t>
      </w:r>
    </w:p>
    <w:p w:rsidR="00127BF1" w:rsidRDefault="00127BF1" w:rsidP="009868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29 May 2002 the final order was made without any further hearing of the parties, as stated above.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for those reasons that the appellants’ counsel attacked the proceedings as wanting procedurally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breach of the appellants’ right to be heard.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other hand,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Kirundi</w:t>
      </w:r>
      <w:r>
        <w:rPr>
          <w:rFonts w:ascii="Times New Roman" w:hAnsi="Times New Roman" w:cs="Times New Roman"/>
          <w:color w:val="000000"/>
        </w:rPr>
        <w:t>, learned Counsel for the respondents saw no breach of any procedure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right of the appellants. In his view, the court had control of the proceedings under section 211 of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Companies Act and need not have heard any of the parties provided </w:t>
      </w:r>
      <w:r>
        <w:rPr>
          <w:rFonts w:ascii="Times New Roman" w:hAnsi="Times New Roman" w:cs="Times New Roman"/>
          <w:color w:val="000000"/>
        </w:rPr>
        <w:lastRenderedPageBreak/>
        <w:t>that it was in full picture of what was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happening in the company. The partners here were hopelessly at loggerheads, and it was evident that both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wanted the company to be wound up. No submissions were therefore necessary from either party.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view, the order caused no prejudice to the appellants since they were still at liberty to proceed with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cases pending in court, and furthermore, the winding-up rules provide for the protection of all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shareholders by the liquidator, who is an agent of the court.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carefully considered the submissions made and the authorities cited on both sides which we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unnecessary to reproduce. We have also perused the record of the superior court and have formed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firm view that there is considerable force in the complaint raised by the appellants.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to be heard is a valued right. It would offend all notions of justice if the rights of a party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to be prejudiced or affected without the party being afforded an opportunity to be heard. This Court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has indeed reiterated that principle on many occasions and we need only cite one for emphasis: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Matiba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9868C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 xml:space="preserve">[1995-1998] EA 192 where in an application for leave to seek an order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>,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refused to grant the prayer for stay without hearing counsel for the applicant, who was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in court. On appeal this Court stated: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 the face of the record, it appeared that the appellants counsel had made no submissions before the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learned Judge in the court below, since if they had been made, they would have been reflected in the record.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was thus an order on record in the presence of the appellants’ counsel but without affording him an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opportunity to address the judge. This was a fundamental breach of the rule that no man shall be condemned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unless he has been given a fair opportunity to be heard which is a cardinal principle of natural justice. Any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that flowed from such a fundamental breach cannot be sustained.”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cannot be gainsaid that the appellants in this matter had considerable interest in the outcome of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winding-up petition. They had appointed an advocate to oppose it and to urge the court to consider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existence of pending suits between the same parties which raised weighty issues of fact and law. There is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in the Company’s Act, or the Winding-up Rules made thereunder which donates the power to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determine a Winding-up petition summarily. Nor was there any application before the court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such summary determination. On the contrary, rule 203 of the Companies (Winding-up) Rules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provides: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all proceedings in or before the court, or any judge, registrar or officer thereof, or over which the court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jurisdiction under the Act or these Rules, where no other provision is made by the Act or these Rules, the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practice, procedure and regulations in such proceedings shall, unless the court otherwise directs, be in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accordance with the rules and practice of the court.”</w:t>
      </w:r>
      <w:r w:rsidR="00986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No reason was given in this matter for the procedure adopted by the court in issuing interlocutory orders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which, on the face of it, no party requested nor required. The order now challenged before us was clearly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in the presence of the parties’ advocates on a date fixed for the hearing of the petition but without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giving them an opportunity to be heard. We hold that this was a serious breach of procedure amounting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denial of justice. Consequently, the order made in such circumstances cannot be sustained and is for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setting aside.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allow the appeal, set aside the order made on 29 May 2002, and remit the matter back to the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superior court for hearing of the petition in accordance with the law, before any judge other than </w:t>
      </w:r>
      <w:proofErr w:type="spellStart"/>
      <w:r>
        <w:rPr>
          <w:rFonts w:ascii="Times New Roman" w:hAnsi="Times New Roman" w:cs="Times New Roman"/>
          <w:color w:val="000000"/>
        </w:rPr>
        <w:t>Ransley</w:t>
      </w:r>
      <w:proofErr w:type="spellEnd"/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 (as he then was).</w:t>
      </w:r>
      <w:r w:rsidR="009868C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costs of the appeal shall be borne by the respondents.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127BF1" w:rsidRDefault="00127BF1" w:rsidP="0012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Musyoka</w:t>
      </w:r>
      <w:proofErr w:type="spellEnd"/>
    </w:p>
    <w:p w:rsidR="00366D10" w:rsidRDefault="00127BF1" w:rsidP="00127BF1">
      <w:r>
        <w:rPr>
          <w:rFonts w:ascii="Times New Roman" w:hAnsi="Times New Roman" w:cs="Times New Roman"/>
          <w:color w:val="000000"/>
        </w:rPr>
        <w:t>For the respondent: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F1"/>
    <w:rsid w:val="00127BF1"/>
    <w:rsid w:val="00366D10"/>
    <w:rsid w:val="0098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ED1FB-437F-4A63-8AD7-8421452F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2018-07-04T19:43:00Z</dcterms:created>
  <dcterms:modified xsi:type="dcterms:W3CDTF">2018-07-13T08:22:00Z</dcterms:modified>
</cp:coreProperties>
</file>