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Mbarouk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Soud</w:t>
      </w:r>
      <w:proofErr w:type="spellEnd"/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November 2003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55/99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Transfer of property – Joint ownership – Party buying half share of dwelling house – Whether party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gain joint possession of house where he is not a member of family of co-owner – Section 41(2) –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Transfer of Property Decree (Chapter 150).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Transfer of property – Late registration – Double fees and fines – Whether failure to pay double fees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fines on late registration of sale deed renders document invalid – Sections 14, 15 and 16 –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Registration of Documents Decree.</w:t>
      </w:r>
    </w:p>
    <w:p w:rsidR="00316A64" w:rsidRDefault="006D61E4" w:rsidP="006D61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16A64" w:rsidRDefault="00316A64" w:rsidP="006D61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Mroso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Appellant and her grandson, one Said Majid Said owned a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 together. It is the Respondent’s case that at one time there was a misunderstanding between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and Said Majid Said and the latter decided to sell his share in the house to him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15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000. The Respondent had married a daughter of the Appellant and he lived with her in the house. It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turned out that the Respondent and his wife also had a misunderstanding and they became divorced.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left to live elsewhere, but before he left he had incurred expenses to repair and renovate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house, according to his evidence. After he left to another place his ex-wife remained in the house.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aggrieved by having to live away from the house, part of which he had bought.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attempts to regain possession and use of it were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unsuccessful and he resorted to court action by suing the Appellant in the District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Zanzibar. In the case he sought a declaration that he was a lawful owner of part of the house; that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should refund to him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which he claimed he had spent on repairing and renovating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house; and that he should get costs.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District Court gave judgment in favour of the Respondent by holding that he was entitled to two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rooms in the house because he had a valid “</w:t>
      </w:r>
      <w:proofErr w:type="spellStart"/>
      <w:r>
        <w:rPr>
          <w:rFonts w:ascii="Times New Roman" w:hAnsi="Times New Roman" w:cs="Times New Roman"/>
          <w:color w:val="000000"/>
        </w:rPr>
        <w:t>Warka</w:t>
      </w:r>
      <w:proofErr w:type="spellEnd"/>
      <w:r>
        <w:rPr>
          <w:rFonts w:ascii="Times New Roman" w:hAnsi="Times New Roman" w:cs="Times New Roman"/>
          <w:color w:val="000000"/>
        </w:rPr>
        <w:t xml:space="preserve">” for the house number 18/146 at </w:t>
      </w:r>
      <w:proofErr w:type="spellStart"/>
      <w:r>
        <w:rPr>
          <w:rFonts w:ascii="Times New Roman" w:hAnsi="Times New Roman" w:cs="Times New Roman"/>
          <w:color w:val="000000"/>
        </w:rPr>
        <w:t>Kisima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Majongoo</w:t>
      </w:r>
      <w:proofErr w:type="spellEnd"/>
      <w:r>
        <w:rPr>
          <w:rFonts w:ascii="Times New Roman" w:hAnsi="Times New Roman" w:cs="Times New Roman"/>
          <w:color w:val="000000"/>
        </w:rPr>
        <w:t>, as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 register number 231/79, volume I, Book A–2 of 1979. He was also entitled to costs. Repair and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renovation costs could not be ascertained.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with that judgment and appealed successfully to the Regional Court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quashed the District Court decision but ordered that the Respondent be refunded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which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claimed he incurred in renovating the house. Since the District Court had held that there was no proof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that expenditure by the Respondent, and there had been no cross-appeal by him, it is not clear in what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the Regional Court allowed the refund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to the Respondent. Even so,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in turn aggrieved by the decision of the Regional Court and he appealed to the High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Court. The High Court, 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 xml:space="preserve"> J, gave a three quarter page judgment in which he set aside the decision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Regional Court and restored that of the District Court. That prompted the Appellant to resort to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  <w:r>
        <w:rPr>
          <w:rFonts w:ascii="Times New Roman" w:hAnsi="Times New Roman" w:cs="Times New Roman"/>
          <w:color w:val="000000"/>
        </w:rPr>
        <w:t>, learned advocate, filed a four point memorandum of appeal in this Court as follows: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and in fact in holding that a husband is a blood member of his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wife’s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family.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(b)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in transferring a part of a house held in undivided share in a family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third party.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(c)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and fact (in) finding that there is a sale to a third person when the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receipt shows the purchase money was paid by another person for herself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(d)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in holding that a late registered sale deed without fulfilling a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condition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precedent, to wit payment of fine, is valid”.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of the appeal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  <w:r>
        <w:rPr>
          <w:rFonts w:ascii="Times New Roman" w:hAnsi="Times New Roman" w:cs="Times New Roman"/>
          <w:color w:val="000000"/>
        </w:rPr>
        <w:t>, learned advocates, appeared for the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 and the Respondent appeared in person, unrepresented.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grounds (a) and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together</w:t>
      </w:r>
      <w:proofErr w:type="gramEnd"/>
      <w:r>
        <w:rPr>
          <w:rFonts w:ascii="Times New Roman" w:hAnsi="Times New Roman" w:cs="Times New Roman"/>
          <w:color w:val="000000"/>
        </w:rPr>
        <w:t xml:space="preserve"> and thereafter argued grounds (c) and (d) each separately.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 that there is really little doubt that Said Majid Said sold part of the house, which he called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his</w:t>
      </w:r>
      <w:proofErr w:type="gramEnd"/>
      <w:r>
        <w:rPr>
          <w:rFonts w:ascii="Times New Roman" w:hAnsi="Times New Roman" w:cs="Times New Roman"/>
          <w:color w:val="000000"/>
        </w:rPr>
        <w:t xml:space="preserve"> share, to the Respondent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15 000. The question here, which is the first ground of appeal, is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whether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 could take possession and use of the two rooms in the house as of right, in law.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44 of the Transfer of Property Decree (Chapter 150) is relevant and it reads as follows: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“44 (1) Where one of two or more co-owners of immovable property legally competent in that behalf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transfers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share of such property or any interest therein, the transferee acquires, as to such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share or interest, so far as is necessary to give effect to the transfer, the transferor’s right to joint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possession or other common or part enjoyment of the property, and to enforce a partition of the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same, but subject to the conditions and liabilities affecting, at the date of the transfer, the share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 so transferred.</w:t>
      </w:r>
    </w:p>
    <w:p w:rsidR="00316A64" w:rsidRDefault="006D61E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16A64">
        <w:rPr>
          <w:rFonts w:ascii="Times New Roman" w:hAnsi="Times New Roman" w:cs="Times New Roman"/>
          <w:color w:val="000000"/>
          <w:sz w:val="20"/>
          <w:szCs w:val="20"/>
        </w:rPr>
        <w:t>(2) Where the transferee of a share of a dwelling house belonging to an undivided family is not a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family, nothing in this section shall be deemed to entitle him to joint possession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common or part enjoyment of the house”.</w:t>
      </w:r>
    </w:p>
    <w:p w:rsidR="00316A64" w:rsidRDefault="00316A64" w:rsidP="006D61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must say that sub-section (2) of section 44 quoted above has posed to our minds a difficulty in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appreciating the logical use of the provision. Apart from the ambiguity of what an undivided family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means, one may ask why a person would want to be a transferee of a share in a dwelling house if 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knows he is not a member of the family of the other holder of a share in the house. Yet, the subsection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make it perfectly legal for a person who is not a member of the family to be a transferee of a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 of a dwelling house but he cannot have joint possession of it or other common part enjoyment of it.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sub-section, therefore, the Respondent as a transferee of Said Majid’s share in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house, which was a dwelling house, could not enjoy joint possession of the house with the Appellant if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not a member of her family.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 xml:space="preserve"> J of the first appellate court held that the Respondent was “a member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ukoo</w:t>
      </w:r>
      <w:proofErr w:type="spellEnd"/>
      <w:r>
        <w:rPr>
          <w:rFonts w:ascii="Times New Roman" w:hAnsi="Times New Roman" w:cs="Times New Roman"/>
          <w:color w:val="000000"/>
        </w:rPr>
        <w:t>” of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But that holding flies in the face of what the Respondent himself concedes, that he is not a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family of the Appellant, although he had once married her daughter. It is our considered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sub-subsection (2) of section 44 bars him from joint possession of the house and he cannot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 common use of the whole or part of it. The Learned Judge of the High Court, with respect, erred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held that the Respondent could “re-occupy the dwelling house”. The first and second grounds of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succeed.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mentioned earlier in this judgment, we entertain no doubt whatsoever that the Respondent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bought and paid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for the two rooms in the house. PW2 – Haji </w:t>
      </w:r>
      <w:proofErr w:type="spellStart"/>
      <w:r>
        <w:rPr>
          <w:rFonts w:ascii="Times New Roman" w:hAnsi="Times New Roman" w:cs="Times New Roman"/>
          <w:color w:val="000000"/>
        </w:rPr>
        <w:t>Abass</w:t>
      </w:r>
      <w:proofErr w:type="spellEnd"/>
      <w:r>
        <w:rPr>
          <w:rFonts w:ascii="Times New Roman" w:hAnsi="Times New Roman" w:cs="Times New Roman"/>
          <w:color w:val="000000"/>
        </w:rPr>
        <w:t xml:space="preserve"> Haji, who was a branch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secretary at the time, said the Appellant and her grandson came to the branch office and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was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to the grandson. The witness did not personally know who paid the money but a document of sale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written at the branch office to the effect that the house was left to the Appellant and the Respondent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itamsihiya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Ziada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Khamis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witness, </w:t>
      </w:r>
      <w:proofErr w:type="spellStart"/>
      <w:r>
        <w:rPr>
          <w:rFonts w:ascii="Times New Roman" w:hAnsi="Times New Roman" w:cs="Times New Roman"/>
          <w:color w:val="000000"/>
        </w:rPr>
        <w:t>Khamis</w:t>
      </w:r>
      <w:proofErr w:type="spellEnd"/>
      <w:r>
        <w:rPr>
          <w:rFonts w:ascii="Times New Roman" w:hAnsi="Times New Roman" w:cs="Times New Roman"/>
          <w:color w:val="000000"/>
        </w:rPr>
        <w:t xml:space="preserve"> Pandu from the office of the Government Registrar, confirmed that there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a house number 18/146 at </w:t>
      </w:r>
      <w:proofErr w:type="spellStart"/>
      <w:r>
        <w:rPr>
          <w:rFonts w:ascii="Times New Roman" w:hAnsi="Times New Roman" w:cs="Times New Roman"/>
          <w:color w:val="000000"/>
        </w:rPr>
        <w:t>Kisima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Majongoo</w:t>
      </w:r>
      <w:proofErr w:type="spellEnd"/>
      <w:r>
        <w:rPr>
          <w:rFonts w:ascii="Times New Roman" w:hAnsi="Times New Roman" w:cs="Times New Roman"/>
          <w:color w:val="000000"/>
        </w:rPr>
        <w:t xml:space="preserve"> between Said Majid and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Khamis</w:t>
      </w:r>
      <w:proofErr w:type="spellEnd"/>
      <w:r>
        <w:rPr>
          <w:rFonts w:ascii="Times New Roman" w:hAnsi="Times New Roman" w:cs="Times New Roman"/>
          <w:color w:val="000000"/>
        </w:rPr>
        <w:t>. It may be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useful to quote his words: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Mauziyo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yalikuwa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Bwana Said Majid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Khamis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Alifika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Majid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Majongoo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Msiige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kutengeneza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Warka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ambao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ulimalizika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tarehe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 October 1979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</w:t>
      </w:r>
      <w:proofErr w:type="spellEnd"/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kumaliza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taratibu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zote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hizo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ndipo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 Raya Rashid Suleiman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tarehe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15 October 1979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alifika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</w:t>
      </w:r>
      <w:proofErr w:type="spellEnd"/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kukabidhiwa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warka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 Raya </w:t>
      </w:r>
      <w:proofErr w:type="spellStart"/>
      <w:r>
        <w:rPr>
          <w:rFonts w:ascii="Times New Roman" w:hAnsi="Times New Roman" w:cs="Times New Roman"/>
          <w:color w:val="000000"/>
        </w:rPr>
        <w:t>Rahsid</w:t>
      </w:r>
      <w:proofErr w:type="spellEnd"/>
      <w:r>
        <w:rPr>
          <w:rFonts w:ascii="Times New Roman" w:hAnsi="Times New Roman" w:cs="Times New Roman"/>
          <w:color w:val="000000"/>
        </w:rPr>
        <w:t xml:space="preserve"> was the wife of the Respondent before she was divorced. She gave evidence at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in the District Court as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witness. She claimed that the purchase money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paid by Bi </w:t>
      </w:r>
      <w:proofErr w:type="spellStart"/>
      <w:r>
        <w:rPr>
          <w:rFonts w:ascii="Times New Roman" w:hAnsi="Times New Roman" w:cs="Times New Roman"/>
          <w:color w:val="000000"/>
        </w:rPr>
        <w:t>Ziada</w:t>
      </w:r>
      <w:proofErr w:type="spellEnd"/>
      <w:r>
        <w:rPr>
          <w:rFonts w:ascii="Times New Roman" w:hAnsi="Times New Roman" w:cs="Times New Roman"/>
          <w:color w:val="000000"/>
        </w:rPr>
        <w:t>, her mother. But if that was so, why would the receipt show that the house was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to </w:t>
      </w:r>
      <w:proofErr w:type="spellStart"/>
      <w:r>
        <w:rPr>
          <w:rFonts w:ascii="Times New Roman" w:hAnsi="Times New Roman" w:cs="Times New Roman"/>
          <w:color w:val="000000"/>
        </w:rPr>
        <w:t>Ziada</w:t>
      </w:r>
      <w:proofErr w:type="spellEnd"/>
      <w:r>
        <w:rPr>
          <w:rFonts w:ascii="Times New Roman" w:hAnsi="Times New Roman" w:cs="Times New Roman"/>
          <w:color w:val="000000"/>
        </w:rPr>
        <w:t xml:space="preserve">, the Appellant, and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Khamis</w:t>
      </w:r>
      <w:proofErr w:type="spellEnd"/>
      <w:r>
        <w:rPr>
          <w:rFonts w:ascii="Times New Roman" w:hAnsi="Times New Roman" w:cs="Times New Roman"/>
          <w:color w:val="000000"/>
        </w:rPr>
        <w:t>, the Respondent? It is significant to note that at the time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Raya was giving evidence in court as DW1, she was already divorced from the Respondent and that may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 why she was distorting the facts.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said in his evidence that he had handed the purchase money to his wife, Raya, so that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could pay it to those concerned –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akabidhishe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wahusika</w:t>
      </w:r>
      <w:proofErr w:type="spellEnd"/>
      <w:r>
        <w:rPr>
          <w:rFonts w:ascii="Times New Roman" w:hAnsi="Times New Roman" w:cs="Times New Roman"/>
          <w:color w:val="000000"/>
        </w:rPr>
        <w:t>”, and obtain a “</w:t>
      </w:r>
      <w:proofErr w:type="spellStart"/>
      <w:r>
        <w:rPr>
          <w:rFonts w:ascii="Times New Roman" w:hAnsi="Times New Roman" w:cs="Times New Roman"/>
          <w:color w:val="000000"/>
        </w:rPr>
        <w:t>Warka</w:t>
      </w:r>
      <w:proofErr w:type="spellEnd"/>
      <w:r>
        <w:rPr>
          <w:rFonts w:ascii="Times New Roman" w:hAnsi="Times New Roman" w:cs="Times New Roman"/>
          <w:color w:val="000000"/>
        </w:rPr>
        <w:t>”, presumably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a document evidencing the sale. We can find nothing unusual for the Respondent to ask his wife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(then) to pay in the purchase money. We are not persuaded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  <w:r>
        <w:rPr>
          <w:rFonts w:ascii="Times New Roman" w:hAnsi="Times New Roman" w:cs="Times New Roman"/>
          <w:color w:val="000000"/>
        </w:rPr>
        <w:t>, therefore, in ground (c) of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and we dismiss it.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It is evident that the sale deed was registered on a date beyond the two-month period after execution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stipulated in section 14 of the Registration of Documents Decree (Chapter 99).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reads: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“14. Every document, the registration whereof is compulsory, shall be registered within two months after its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execution”.</w:t>
      </w:r>
      <w:r w:rsidR="006D61E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Sections 15 and 16 of the same decree impose double fees and a fine if the document is not registered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a period of six months of the prescribed two months.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disputed that the “</w:t>
      </w:r>
      <w:proofErr w:type="spellStart"/>
      <w:r>
        <w:rPr>
          <w:rFonts w:ascii="Times New Roman" w:hAnsi="Times New Roman" w:cs="Times New Roman"/>
          <w:color w:val="000000"/>
        </w:rPr>
        <w:t>Warka</w:t>
      </w:r>
      <w:proofErr w:type="spellEnd"/>
      <w:r>
        <w:rPr>
          <w:rFonts w:ascii="Times New Roman" w:hAnsi="Times New Roman" w:cs="Times New Roman"/>
          <w:color w:val="000000"/>
        </w:rPr>
        <w:t>” was compulsorily registrable and was in fact registered late but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double fees nor a fine were paid.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unpaid double fees and fines can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paid even now because </w:t>
      </w:r>
      <w:r>
        <w:rPr>
          <w:rFonts w:ascii="Times New Roman" w:hAnsi="Times New Roman" w:cs="Times New Roman"/>
          <w:color w:val="000000"/>
        </w:rPr>
        <w:lastRenderedPageBreak/>
        <w:t>they remain as unpaid revenue due to the Government.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consider that the late registration which was not accompanied by double fees and fines did not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render the </w:t>
      </w:r>
      <w:proofErr w:type="spellStart"/>
      <w:r>
        <w:rPr>
          <w:rFonts w:ascii="Times New Roman" w:hAnsi="Times New Roman" w:cs="Times New Roman"/>
          <w:color w:val="000000"/>
        </w:rPr>
        <w:t>Warka</w:t>
      </w:r>
      <w:proofErr w:type="spellEnd"/>
      <w:r>
        <w:rPr>
          <w:rFonts w:ascii="Times New Roman" w:hAnsi="Times New Roman" w:cs="Times New Roman"/>
          <w:color w:val="000000"/>
        </w:rPr>
        <w:t xml:space="preserve"> invalid but merely created a liability and a duty for the Respondent to pay up. The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and duty subsists to this day. We dismiss the fourth ground of appeal.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allowed the appeal on the first and second grounds it follows that since the Respondent is not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“joint possession of other common or part enjoyment” of the house with the Appellant, which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means he cannot occupy it, he should get a refund of the purchase price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15 000. It is so ordered.</w:t>
      </w:r>
      <w:r w:rsidR="006D61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two of the four grounds of appeal were dismissed, there will be no order for costs.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Mbwezeleni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Mnkonje</w:t>
      </w:r>
      <w:proofErr w:type="spellEnd"/>
    </w:p>
    <w:p w:rsidR="00316A64" w:rsidRDefault="00316A64" w:rsidP="00316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316A64" w:rsidP="00316A64">
      <w:r>
        <w:rPr>
          <w:rFonts w:ascii="Times New Roman" w:hAnsi="Times New Roman" w:cs="Times New Roman"/>
          <w:i/>
          <w:iCs/>
          <w:color w:val="000000"/>
        </w:rPr>
        <w:t>In person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CA" w:rsidRDefault="001728CA" w:rsidP="006D61E4">
      <w:pPr>
        <w:spacing w:after="0" w:line="240" w:lineRule="auto"/>
      </w:pPr>
      <w:r>
        <w:separator/>
      </w:r>
    </w:p>
  </w:endnote>
  <w:endnote w:type="continuationSeparator" w:id="0">
    <w:p w:rsidR="001728CA" w:rsidRDefault="001728CA" w:rsidP="006D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CA" w:rsidRDefault="001728CA" w:rsidP="006D61E4">
      <w:pPr>
        <w:spacing w:after="0" w:line="240" w:lineRule="auto"/>
      </w:pPr>
      <w:r>
        <w:separator/>
      </w:r>
    </w:p>
  </w:footnote>
  <w:footnote w:type="continuationSeparator" w:id="0">
    <w:p w:rsidR="001728CA" w:rsidRDefault="001728CA" w:rsidP="006D6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64"/>
    <w:rsid w:val="001728CA"/>
    <w:rsid w:val="00316A64"/>
    <w:rsid w:val="00575C55"/>
    <w:rsid w:val="006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DF82E-1240-4395-B2FA-57992C7B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E4"/>
  </w:style>
  <w:style w:type="paragraph" w:styleId="Footer">
    <w:name w:val="footer"/>
    <w:basedOn w:val="Normal"/>
    <w:link w:val="FooterChar"/>
    <w:uiPriority w:val="99"/>
    <w:unhideWhenUsed/>
    <w:rsid w:val="006D6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2018-07-04T17:43:00Z</dcterms:created>
  <dcterms:modified xsi:type="dcterms:W3CDTF">2018-07-13T08:28:00Z</dcterms:modified>
</cp:coreProperties>
</file>