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Mbogoro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-Cid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Songea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District and another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44/04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Court of Appeal Rules – Meaning of deputy registrar with whom to lodge notice of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Effect of not signing notice of appeal.</w:t>
      </w:r>
    </w:p>
    <w:p w:rsidR="008C09F4" w:rsidRDefault="006E1598" w:rsidP="006E15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C09F4" w:rsidRDefault="008C09F4" w:rsidP="006E15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Msoffe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In the High Court of Tanzania at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>, the appellant instituted a suit in which he claimed,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general damages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100 million for wrongful confinement. Apparently on the night of 22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2001 he, together with three other people, were drinking alcohol at a bar known as Deluxe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within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 xml:space="preserve"> Township. The drinking went on past midnight. On the same day, the first respondent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leading a team of six policemen in an operation aimed at netting and arresting criminals. At around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0:30 hours on 23 November 2001 the policemen entered Deluxe Two Bar in the course of the operation.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number of people, including the appellant, were arrested in the process and taken to the police station.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locked up until the following morning at around 8:00 am when they were taken to an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room. Later a trade officer from the Town Council arrived at the police station at the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request of the first respondent. The appellant and the others were each fined a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5 000 for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termed as being found drinking alcohol in a bar after 11:00 pm. The appellant felt that his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had been infringed hence, the above mentioned suit. In a judgment delivered and dated 15 April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2003, he was awarded a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20 000 as general damages. In the said judgment, the details of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 do not have to go into for purposes of this ruling, the learned Judge opined and held that only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contemptuous damages were payable in the circumstances of the case and, hence, decreed the above sum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money. The appellant is dissatisfied, hence, this appeal. He appeared in person, while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Boniface</w:t>
      </w:r>
      <w:r>
        <w:rPr>
          <w:rFonts w:ascii="Times New Roman" w:hAnsi="Times New Roman" w:cs="Times New Roman"/>
          <w:color w:val="000000"/>
        </w:rPr>
        <w:t>,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State Attorney (assisted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  <w:r>
        <w:rPr>
          <w:rFonts w:ascii="Times New Roman" w:hAnsi="Times New Roman" w:cs="Times New Roman"/>
          <w:color w:val="000000"/>
        </w:rPr>
        <w:t>, learned State Attorney) appeared on behalf of the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appeal we had to deal first with a preliminary objection notice of which had been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earlier on. The notice of preliminary objection was taken pursuant to rule 100, and its gist thereof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notice of appeal is fatally defective.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arguing the objection,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Boniface </w:t>
      </w:r>
      <w:r>
        <w:rPr>
          <w:rFonts w:ascii="Times New Roman" w:hAnsi="Times New Roman" w:cs="Times New Roman"/>
          <w:color w:val="000000"/>
        </w:rPr>
        <w:t>basically urged that the notice of appeal, filed on 17 April 2003,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fatally defective in the following aspects: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it is shown thereof that it was to be sent to the deputy registrar of the Court of Appeal instead of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sent to the registrar of the High Court, and thus offending the provisions of rule 76(1); and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instead of lodging it with the registrar of the High Court as required by rule 76(1) the same was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 in the sub-registry of the High Court of Tanzania.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Boniface </w:t>
      </w:r>
      <w:r>
        <w:rPr>
          <w:rFonts w:ascii="Times New Roman" w:hAnsi="Times New Roman" w:cs="Times New Roman"/>
          <w:color w:val="000000"/>
        </w:rPr>
        <w:t xml:space="preserve">went on to cite this Court’s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William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Asheri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Naftali </w:t>
      </w:r>
      <w:r>
        <w:rPr>
          <w:rFonts w:ascii="Times New Roman" w:hAnsi="Times New Roman" w:cs="Times New Roman"/>
          <w:color w:val="000000"/>
        </w:rPr>
        <w:t>Civil appeal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21 of 1995 (UR) in support of the above arguments.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In conclusion, he was of the view that unlike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(ibid</w:t>
      </w:r>
      <w:r>
        <w:rPr>
          <w:rFonts w:ascii="Times New Roman" w:hAnsi="Times New Roman" w:cs="Times New Roman"/>
          <w:color w:val="000000"/>
        </w:rPr>
        <w:t>) case where the appellant was a layman,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the instant matter, who is a lawyer for that matter, ought to have filed a proper notice of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hand, the appellant maintained that while it is true that under rule 76(1) an appellant has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send the notice to the registrar of the High Court, under rule 2 of the Court of Appeal Rules, the said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includes the deputy registrar. Hence, according to him, since every registry of the High Court is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sub-registry of the Court of Appeal, the signatory thereof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SC Moshi, was a deputy registrar for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the notice. He went on to conclude that since rule 76(6) requires a notice to be substantially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Form D in the First Schedule, the notice of appeal filed on 17 April 2003, is a substantially valid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given careful thought to the arguments for and against the preliminary objection. In the end,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 that the objection has merit. It is true that a close look at the said notice of appeal will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 that it is fatally defective. It is correct, as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Boniface, that instead of being sent and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 with the registrar of the High Court as required by rule 76(1), it was actually sent and lodged with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deputy registrar, Court of Appeal. While it is true that under rule 12 “registrar of the High Court”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the registrar of the High Court and includes a district and deputy registrar of that court, the deputy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registrar of the Court of Appeal cannot be a “registrar of the High Court”. It was, therefore, wrong to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send and lodge the notice with the deputy registrar of the Court of Appeal at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one other </w:t>
      </w:r>
      <w:r>
        <w:rPr>
          <w:rFonts w:ascii="Times New Roman" w:hAnsi="Times New Roman" w:cs="Times New Roman"/>
          <w:color w:val="000000"/>
        </w:rPr>
        <w:lastRenderedPageBreak/>
        <w:t>shortcoming in the said notice of appeal which also complicates matters for the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appellant; it is on the fact that the said notice was not signed, at all, by the appellant or his advocate as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prescribed under Form D. Surely, in the absence of the appellant’s signature or that of his advocate, we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entitled to say that there was actually no notice of appeal filed with this Court.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end, we are of the view that the above shortcomings are not minor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wished us to say. They are actually serious and go to the very root of the appeal. Accordingly, we sustain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on the preliminary objection and strike out the appeal. Since the respondents did not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for costs we will not make an order for costs.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6E1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 person</w:t>
      </w:r>
    </w:p>
    <w:p w:rsidR="008C09F4" w:rsidRDefault="008C09F4" w:rsidP="008C0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8C09F4" w:rsidP="008C09F4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Boniface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F4"/>
    <w:rsid w:val="00366D10"/>
    <w:rsid w:val="006E1598"/>
    <w:rsid w:val="008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E901-DD59-4D52-BEE6-4DDC238A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2018-07-04T19:44:00Z</dcterms:created>
  <dcterms:modified xsi:type="dcterms:W3CDTF">2018-07-13T08:29:00Z</dcterms:modified>
</cp:coreProperties>
</file>