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Mbori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Sanghani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of Kenya at Nairobi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September 2006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614/04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Amendment of an application – Time when the application to amend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application should be made – Factors for the court to consider.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procedure, dismissal of suit – Effect of application to dismiss suit after issues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on – Delay in filing application – Factors for court to consider.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32DD6" w:rsidRDefault="004359C5" w:rsidP="00732D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filed an application under Order VI, rule 13(1)(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or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or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and Order XVI, rule 5 of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Rules seeking the suit’s dismissal. At the hearing of this application the applicants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sought leave to amend the application so that the prayer would be for the striking out of the suit,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rather than its dismissal. Counsel for the plaintiff strongly opposed the application for leave to amend the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stating that the proposed amendment would make a world of difference.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noteworthy that on 2 April 2003, all the parties to the suit signed and filed a Statement of Agreed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Issues. Thereafter, the suit had been set down for trial on 12 July 2005. From the court records, the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for the trial not proceeding as scheduled was that the applicant’s advocate was engaged in another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at the High Court in Kisumu.</w:t>
      </w:r>
      <w:r w:rsidR="00732DD6">
        <w:rPr>
          <w:rFonts w:ascii="Times New Roman" w:hAnsi="Times New Roman" w:cs="Times New Roman"/>
          <w:color w:val="000000"/>
        </w:rPr>
        <w:t xml:space="preserve"> </w:t>
      </w:r>
    </w:p>
    <w:p w:rsidR="00732DD6" w:rsidRDefault="00732DD6" w:rsidP="00732D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359C5" w:rsidRDefault="004359C5" w:rsidP="00732D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Any party who seeks to amend his application should do so at the earliest possible opportunity.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Indeed, the most ideal time to seek leave to make an amendment is before delving into the substance of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itself. And after putting forward its case for the proposed amendment, the applicant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await the court’s decision thereon, as it would enable all the parties to know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the court has granted leave. The court’s decision on that issue would then inform the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 of action to be undertaken by the parties.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manner in which the applicant sought leave to amend the application was most inappropriate.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not passed a verdict on the said application, one wonders whether the applicants based their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on the application as worded, or whether they assumed that leave to amend was granted, so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application was prosecuted on that understanding. It must also be appreciated that a party who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respondent to an application is entitled to sufficient notice of that which he is to face. It is only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is given adequate notice that the respondent can properly prepare for the application. Therefore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an applicant serves an application on the other party, then makes submissions thereon, it is not fair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respondent to allow the applicant leave to amend the application so late in the day, if the proposed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would significantly alter the application. However, if the applicant were to make out a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convincing case to justify his belated application for leave to amend the application, the court should be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willing to accord the respondent more time, if the same is sought by the said respondent.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change that the applicants wished to introduce was to the effect that the substantive prayer in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should be for the striking out instead of the dismissal of the suit. Under Order VI, rule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13(1) of the Civil Procedure Rules, the court may order to be struck out or amended any pleading and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order the suit to be stayed or dismissed or judgment to be entered accordingly as the case may be.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if the court were to ultimately grant an order to strike out the suit as against the applicants, it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then proceed to have the suit dismissed. In the circumstances, the respondents would not be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prejudiced by the amendment in the manner proposed. In any event, if the respondents had felt they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needed more time to reconsider their response to the applicants’ submissions, they only needed to have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an adjournment. Accordingly the applicants are granted leave to amend the application so that it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seeks the striking out of the suit instead of dismissal thereof.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Whereas it appears that the applicants have a strong legal contention founded on the apparent lack of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as between the plaintiff, on the one hand, and the applicants on the other, all the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signed and filed a Statement of Agreed Issues. Out of the eight issues listed, the first two appear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address the concerns which the applicants raised during the hearing of the application. Having </w:t>
      </w:r>
      <w:r>
        <w:rPr>
          <w:rFonts w:ascii="Times New Roman" w:hAnsi="Times New Roman" w:cs="Times New Roman"/>
          <w:color w:val="000000"/>
        </w:rPr>
        <w:lastRenderedPageBreak/>
        <w:t>been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signatories to the Statement of Issues, through which all the parties had decided on the matters which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be placed before the trial court for determination, the applicants have not explained to the court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why they have now decided that the same issues ought to be now determined summarily. The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unexplained change of heart on the part of the applicants was even more perplexing as they had also filed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lists of documents to be adduced at the trial.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time limit within which an application to strike out pleadings must be made and the court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order to be struck out any pleading at any stage of the proceedings. However, when there is a delay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bringing an application to strike out pleadings, such delay may nonetheless work against the applicant.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Sabayaga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Farmers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Co-operative Society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[1969] EA 38 distinguished).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Once the parties to the suit had themselves formulated a list of eight issues which were to be placed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trial court, it is hard to say that the plaintiffs have no case at all. If it had been so clear and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beyond doubt that the plaintiffs did not have any case at all, the parties would have no reason to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formulate the eight issues. (</w:t>
      </w:r>
      <w:r>
        <w:rPr>
          <w:rFonts w:ascii="Times New Roman" w:hAnsi="Times New Roman" w:cs="Times New Roman"/>
          <w:i/>
          <w:iCs/>
          <w:color w:val="000000"/>
        </w:rPr>
        <w:t xml:space="preserve">DT Dobie and Company (Kenya)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[1978] LLR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9 (CAK); </w:t>
      </w:r>
      <w:r>
        <w:rPr>
          <w:rFonts w:ascii="Times New Roman" w:hAnsi="Times New Roman" w:cs="Times New Roman"/>
          <w:i/>
          <w:iCs/>
          <w:color w:val="000000"/>
        </w:rPr>
        <w:t xml:space="preserve">Kellaway v Bury </w:t>
      </w:r>
      <w:r>
        <w:rPr>
          <w:rFonts w:ascii="Times New Roman" w:hAnsi="Times New Roman" w:cs="Times New Roman"/>
          <w:color w:val="000000"/>
        </w:rPr>
        <w:t xml:space="preserve">[1892] 66 LT 599; </w:t>
      </w:r>
      <w:r>
        <w:rPr>
          <w:rFonts w:ascii="Times New Roman" w:hAnsi="Times New Roman" w:cs="Times New Roman"/>
          <w:i/>
          <w:iCs/>
          <w:color w:val="000000"/>
        </w:rPr>
        <w:t xml:space="preserve">Wenlock v Maloney and others </w:t>
      </w:r>
      <w:r>
        <w:rPr>
          <w:rFonts w:ascii="Times New Roman" w:hAnsi="Times New Roman" w:cs="Times New Roman"/>
          <w:color w:val="000000"/>
        </w:rPr>
        <w:t>[1965] 1 WLR 1238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applied).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plaintiffs in the suit alleged that there was fraud perpetrated by the defendants. If the applicants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directors of the fourth defendants, and if the fourth defendants were ultimately held to be liable for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selling and transferring the suit property to third parties fraudulently, it was possible that the applicants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any of them who may have been carrying out the actions on behalf of the fourth defendant could also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personally liable. (</w:t>
      </w:r>
      <w:r>
        <w:rPr>
          <w:rFonts w:ascii="Times New Roman" w:hAnsi="Times New Roman" w:cs="Times New Roman"/>
          <w:i/>
          <w:iCs/>
          <w:color w:val="000000"/>
        </w:rPr>
        <w:t xml:space="preserve">Standard Chartered Bank v Pakistan National Shipping Corp and others </w:t>
      </w:r>
      <w:r>
        <w:rPr>
          <w:rFonts w:ascii="Times New Roman" w:hAnsi="Times New Roman" w:cs="Times New Roman"/>
          <w:color w:val="000000"/>
        </w:rPr>
        <w:t>(number</w:t>
      </w:r>
      <w:r w:rsidR="00732D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2) [2002] 2 All ER 931 applied).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DT Dobie and Company (Kenya)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[1978] LLR 9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Sabayaga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Farmers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Co-operative Society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[1969] EA 38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Others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Kellaway v Bury </w:t>
      </w:r>
      <w:r>
        <w:rPr>
          <w:rFonts w:ascii="Times New Roman" w:hAnsi="Times New Roman" w:cs="Times New Roman"/>
          <w:color w:val="000000"/>
        </w:rPr>
        <w:t xml:space="preserve">[1892] 66 LT 599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Standard Chartered Bank v Pakistan National Shipping Corp and others </w:t>
      </w:r>
      <w:r>
        <w:rPr>
          <w:rFonts w:ascii="Times New Roman" w:hAnsi="Times New Roman" w:cs="Times New Roman"/>
          <w:color w:val="000000"/>
        </w:rPr>
        <w:t>(number 2) [2002] 2 All ER 931</w:t>
      </w:r>
    </w:p>
    <w:p w:rsidR="004359C5" w:rsidRDefault="004359C5" w:rsidP="0043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AB7022" w:rsidRDefault="004359C5" w:rsidP="004359C5">
      <w:r>
        <w:rPr>
          <w:rFonts w:ascii="Times New Roman" w:hAnsi="Times New Roman" w:cs="Times New Roman"/>
          <w:i/>
          <w:iCs/>
          <w:color w:val="000000"/>
        </w:rPr>
        <w:t xml:space="preserve">Wenlock v Maloney and others </w:t>
      </w:r>
      <w:r>
        <w:rPr>
          <w:rFonts w:ascii="Times New Roman" w:hAnsi="Times New Roman" w:cs="Times New Roman"/>
          <w:color w:val="000000"/>
        </w:rPr>
        <w:t xml:space="preserve">[1965] 1 WLR 1238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C5"/>
    <w:rsid w:val="004359C5"/>
    <w:rsid w:val="00732DD6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310BB-C040-4023-8836-E16EEA7C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2018-07-05T06:37:00Z</dcterms:created>
  <dcterms:modified xsi:type="dcterms:W3CDTF">2018-07-13T08:30:00Z</dcterms:modified>
</cp:coreProperties>
</file>